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4FB36" w14:textId="77777777" w:rsidR="00EC14A5" w:rsidRDefault="00EC14A5" w:rsidP="00B1051B">
      <w:pPr>
        <w:pBdr>
          <w:bottom w:val="single" w:sz="4" w:space="1" w:color="auto"/>
        </w:pBdr>
        <w:spacing w:after="220"/>
        <w:rPr>
          <w:b/>
          <w:sz w:val="40"/>
          <w:szCs w:val="40"/>
        </w:rPr>
      </w:pPr>
      <w:r>
        <w:rPr>
          <w:b/>
          <w:noProof/>
          <w:sz w:val="40"/>
          <w:szCs w:val="40"/>
          <w:lang w:eastAsia="en-NZ"/>
        </w:rPr>
        <w:drawing>
          <wp:anchor distT="0" distB="0" distL="114300" distR="114300" simplePos="0" relativeHeight="251659264" behindDoc="0" locked="0" layoutInCell="1" allowOverlap="1" wp14:anchorId="5A34FB6C" wp14:editId="5A34FB6D">
            <wp:simplePos x="0" y="0"/>
            <wp:positionH relativeFrom="column">
              <wp:posOffset>4163695</wp:posOffset>
            </wp:positionH>
            <wp:positionV relativeFrom="paragraph">
              <wp:posOffset>-13335</wp:posOffset>
            </wp:positionV>
            <wp:extent cx="2519680" cy="88646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519680" cy="886460"/>
                    </a:xfrm>
                    <a:prstGeom prst="rect">
                      <a:avLst/>
                    </a:prstGeom>
                    <a:noFill/>
                    <a:ln w="9525">
                      <a:noFill/>
                      <a:miter lim="800000"/>
                      <a:headEnd/>
                      <a:tailEnd/>
                    </a:ln>
                  </pic:spPr>
                </pic:pic>
              </a:graphicData>
            </a:graphic>
          </wp:anchor>
        </w:drawing>
      </w:r>
    </w:p>
    <w:p w14:paraId="5A34FB37" w14:textId="77777777" w:rsidR="00B1051B" w:rsidRDefault="00A22BDD" w:rsidP="00B1051B">
      <w:pPr>
        <w:pBdr>
          <w:bottom w:val="single" w:sz="4" w:space="1" w:color="auto"/>
        </w:pBdr>
        <w:spacing w:after="220"/>
        <w:rPr>
          <w:b/>
          <w:sz w:val="40"/>
          <w:szCs w:val="40"/>
        </w:rPr>
      </w:pPr>
      <w:r>
        <w:rPr>
          <w:b/>
          <w:sz w:val="40"/>
          <w:szCs w:val="40"/>
        </w:rPr>
        <w:t>Application of transitional d</w:t>
      </w:r>
      <w:r w:rsidR="00EC14A5">
        <w:rPr>
          <w:b/>
          <w:sz w:val="40"/>
          <w:szCs w:val="40"/>
        </w:rPr>
        <w:t xml:space="preserve">iscounts </w:t>
      </w:r>
    </w:p>
    <w:p w14:paraId="5A34FB38" w14:textId="77777777" w:rsidR="00B1051B" w:rsidRPr="0061660D" w:rsidRDefault="00B1051B" w:rsidP="00B1051B">
      <w:pPr>
        <w:pBdr>
          <w:bottom w:val="single" w:sz="4" w:space="1" w:color="auto"/>
        </w:pBdr>
        <w:spacing w:after="220"/>
        <w:rPr>
          <w:b/>
          <w:sz w:val="4"/>
          <w:szCs w:val="4"/>
        </w:rPr>
      </w:pPr>
    </w:p>
    <w:p w14:paraId="5A34FB39" w14:textId="77777777" w:rsidR="00EC14A5" w:rsidRPr="00EC14A5" w:rsidRDefault="00EC14A5" w:rsidP="00EC14A5">
      <w:pPr>
        <w:spacing w:after="140" w:line="264" w:lineRule="auto"/>
        <w:rPr>
          <w:b/>
        </w:rPr>
      </w:pPr>
      <w:r w:rsidRPr="00EC14A5">
        <w:rPr>
          <w:b/>
        </w:rPr>
        <w:t>The Crown has agreed transitional discounts to assist industry adopt cost-sharing for agreed readiness</w:t>
      </w:r>
      <w:r w:rsidR="00A22BDD">
        <w:rPr>
          <w:b/>
        </w:rPr>
        <w:t xml:space="preserve"> and response activities in an Operational A</w:t>
      </w:r>
      <w:r w:rsidRPr="00EC14A5">
        <w:rPr>
          <w:b/>
        </w:rPr>
        <w:t xml:space="preserve">greement (OA) under the GIA Deed. These discounts are being offered for six years and are in addition to the Deed clause that states industry will pay a maximum of 50 percent for the activities. </w:t>
      </w:r>
    </w:p>
    <w:p w14:paraId="5A34FB3A" w14:textId="77777777" w:rsidR="001E0001" w:rsidRDefault="001E0001" w:rsidP="008D4007">
      <w:pPr>
        <w:spacing w:after="140" w:line="264" w:lineRule="auto"/>
        <w:rPr>
          <w:b/>
          <w:sz w:val="24"/>
          <w:szCs w:val="24"/>
        </w:rPr>
        <w:sectPr w:rsidR="001E0001" w:rsidSect="00BC6B3B">
          <w:footerReference w:type="default" r:id="rId13"/>
          <w:footerReference w:type="first" r:id="rId14"/>
          <w:pgSz w:w="11906" w:h="16838"/>
          <w:pgMar w:top="851" w:right="709" w:bottom="567" w:left="709" w:header="709" w:footer="353" w:gutter="0"/>
          <w:cols w:space="708"/>
          <w:docGrid w:linePitch="360"/>
        </w:sectPr>
      </w:pPr>
    </w:p>
    <w:p w14:paraId="5A34FB3B" w14:textId="788D04EA" w:rsidR="008B5BCC" w:rsidRDefault="00EC14A5" w:rsidP="00EC14A5">
      <w:r w:rsidRPr="008B5BCC">
        <w:t>Readiness cost-sharing commences as soon an operational agreement allows, with discounts in place until June 2020. Response cos</w:t>
      </w:r>
      <w:r w:rsidR="002D659A">
        <w:t xml:space="preserve">t-sharing comes into effect </w:t>
      </w:r>
      <w:r w:rsidR="00D3455A">
        <w:t>when the Crown implements the requisite regula</w:t>
      </w:r>
      <w:r w:rsidR="00931F94">
        <w:t>tory framework, expected by mid-</w:t>
      </w:r>
      <w:r w:rsidR="00D3455A">
        <w:t>2018 wi</w:t>
      </w:r>
      <w:r w:rsidRPr="008B5BCC">
        <w:t xml:space="preserve">th discounts in place until June 2023. Table 1 lists the discounts that will be applied. </w:t>
      </w:r>
    </w:p>
    <w:p w14:paraId="5A34FB3C" w14:textId="77777777" w:rsidR="00EC14A5" w:rsidRPr="002D659A" w:rsidRDefault="00EC14A5" w:rsidP="00EC14A5">
      <w:pPr>
        <w:rPr>
          <w:b/>
        </w:rPr>
      </w:pPr>
      <w:r w:rsidRPr="002D659A">
        <w:rPr>
          <w:b/>
        </w:rPr>
        <w:t>How transitional discounts are applied</w:t>
      </w:r>
    </w:p>
    <w:p w14:paraId="5A34FB3D" w14:textId="77777777" w:rsidR="00EC14A5" w:rsidRPr="0057759A" w:rsidRDefault="00EC14A5" w:rsidP="00EC14A5">
      <w:pPr>
        <w:rPr>
          <w:rFonts w:asciiTheme="minorHAnsi" w:eastAsiaTheme="minorHAnsi" w:hAnsiTheme="minorHAnsi" w:cstheme="minorBidi"/>
        </w:rPr>
      </w:pPr>
      <w:r w:rsidRPr="0057759A">
        <w:rPr>
          <w:rFonts w:asciiTheme="minorHAnsi" w:eastAsiaTheme="minorHAnsi" w:hAnsiTheme="minorHAnsi" w:cstheme="minorBidi"/>
        </w:rPr>
        <w:t>Transitional discounts are applied after:</w:t>
      </w:r>
    </w:p>
    <w:p w14:paraId="5A34FB3E" w14:textId="77777777" w:rsidR="00EC14A5" w:rsidRPr="008B5BCC" w:rsidRDefault="00EC14A5" w:rsidP="008B5BCC">
      <w:pPr>
        <w:pStyle w:val="ListParagraph"/>
        <w:numPr>
          <w:ilvl w:val="1"/>
          <w:numId w:val="2"/>
        </w:numPr>
        <w:ind w:left="426" w:hanging="426"/>
      </w:pPr>
      <w:r w:rsidRPr="008B5BCC">
        <w:t xml:space="preserve">The </w:t>
      </w:r>
      <w:proofErr w:type="spellStart"/>
      <w:r w:rsidRPr="008B5BCC">
        <w:t>exacerbator</w:t>
      </w:r>
      <w:proofErr w:type="spellEnd"/>
      <w:r w:rsidRPr="008B5BCC">
        <w:t xml:space="preserve"> contribution [Deed clause 3.3.1] has been applied</w:t>
      </w:r>
    </w:p>
    <w:p w14:paraId="5A34FB3F" w14:textId="77777777" w:rsidR="000B7932" w:rsidRDefault="00EC14A5" w:rsidP="00A22BDD">
      <w:pPr>
        <w:pStyle w:val="ListParagraph"/>
        <w:numPr>
          <w:ilvl w:val="1"/>
          <w:numId w:val="2"/>
        </w:numPr>
        <w:spacing w:after="0"/>
        <w:ind w:left="426" w:hanging="426"/>
      </w:pPr>
      <w:r w:rsidRPr="008B5BCC">
        <w:t>The agreed industry beneficiary cost-share has been applied</w:t>
      </w:r>
    </w:p>
    <w:p w14:paraId="5A34FB40" w14:textId="77777777" w:rsidR="00EC14A5" w:rsidRPr="008B5BCC" w:rsidRDefault="00EC14A5" w:rsidP="00A22BDD">
      <w:pPr>
        <w:spacing w:after="0"/>
      </w:pPr>
      <w:r w:rsidRPr="008B5BCC">
        <w:t>AND, when relevant</w:t>
      </w:r>
    </w:p>
    <w:p w14:paraId="5A34FB41" w14:textId="77777777" w:rsidR="00EC14A5" w:rsidRPr="008B5BCC" w:rsidRDefault="00EC14A5" w:rsidP="00A22BDD">
      <w:pPr>
        <w:pStyle w:val="ListParagraph"/>
        <w:numPr>
          <w:ilvl w:val="1"/>
          <w:numId w:val="2"/>
        </w:numPr>
        <w:spacing w:after="0"/>
        <w:ind w:left="426" w:hanging="426"/>
        <w:rPr>
          <w:rFonts w:asciiTheme="minorHAnsi" w:hAnsiTheme="minorHAnsi"/>
        </w:rPr>
      </w:pPr>
      <w:r w:rsidRPr="008B5BCC">
        <w:t xml:space="preserve">Industry’s allocation of costs has been adjusted to a maximum of 50 percent of the total costs [Deed clause 5.1.6]. </w:t>
      </w:r>
    </w:p>
    <w:p w14:paraId="5A34FB42"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
          <w:bCs/>
          <w:color w:val="000000" w:themeColor="text1"/>
          <w:kern w:val="24"/>
          <w:sz w:val="18"/>
          <w:szCs w:val="18"/>
        </w:rPr>
        <w:t>Table 1: Transitional discounts</w:t>
      </w:r>
    </w:p>
    <w:p w14:paraId="5A34FB43"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Years</w:t>
      </w:r>
      <w:r w:rsidRPr="00BF2BEB">
        <w:rPr>
          <w:rFonts w:asciiTheme="minorHAnsi" w:hAnsiTheme="minorHAnsi" w:cs="Arial"/>
          <w:bCs/>
          <w:kern w:val="24"/>
          <w:sz w:val="18"/>
          <w:szCs w:val="18"/>
        </w:rPr>
        <w:tab/>
        <w:t xml:space="preserve">Readiness </w:t>
      </w:r>
      <w:r w:rsidRPr="00BF2BEB">
        <w:rPr>
          <w:rFonts w:asciiTheme="minorHAnsi" w:hAnsiTheme="minorHAnsi" w:cs="Arial"/>
          <w:bCs/>
          <w:kern w:val="24"/>
          <w:sz w:val="18"/>
          <w:szCs w:val="18"/>
        </w:rPr>
        <w:tab/>
        <w:t>Responses</w:t>
      </w:r>
    </w:p>
    <w:p w14:paraId="5A34FB44"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2014/15</w:t>
      </w:r>
      <w:r w:rsidRPr="00BF2BEB">
        <w:rPr>
          <w:rFonts w:asciiTheme="minorHAnsi" w:hAnsiTheme="minorHAnsi" w:cs="Arial"/>
          <w:bCs/>
          <w:kern w:val="24"/>
          <w:sz w:val="18"/>
          <w:szCs w:val="18"/>
        </w:rPr>
        <w:tab/>
        <w:t>60%</w:t>
      </w:r>
      <w:r w:rsidRPr="00BF2BEB">
        <w:rPr>
          <w:rFonts w:asciiTheme="minorHAnsi" w:hAnsiTheme="minorHAnsi" w:cs="Arial"/>
          <w:bCs/>
          <w:kern w:val="24"/>
          <w:sz w:val="18"/>
          <w:szCs w:val="18"/>
        </w:rPr>
        <w:tab/>
        <w:t>100%</w:t>
      </w:r>
    </w:p>
    <w:p w14:paraId="5A34FB45"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2015/16</w:t>
      </w:r>
      <w:r w:rsidRPr="00BF2BEB">
        <w:rPr>
          <w:rFonts w:asciiTheme="minorHAnsi" w:hAnsiTheme="minorHAnsi" w:cs="Arial"/>
          <w:bCs/>
          <w:kern w:val="24"/>
          <w:sz w:val="18"/>
          <w:szCs w:val="18"/>
        </w:rPr>
        <w:tab/>
        <w:t>60%</w:t>
      </w:r>
      <w:r w:rsidRPr="00BF2BEB">
        <w:rPr>
          <w:rFonts w:asciiTheme="minorHAnsi" w:hAnsiTheme="minorHAnsi" w:cs="Arial"/>
          <w:bCs/>
          <w:kern w:val="24"/>
          <w:sz w:val="18"/>
          <w:szCs w:val="18"/>
        </w:rPr>
        <w:tab/>
        <w:t>100%</w:t>
      </w:r>
    </w:p>
    <w:p w14:paraId="5A34FB46"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2016/17</w:t>
      </w:r>
      <w:r w:rsidRPr="00BF2BEB">
        <w:rPr>
          <w:rFonts w:asciiTheme="minorHAnsi" w:hAnsiTheme="minorHAnsi" w:cs="Arial"/>
          <w:bCs/>
          <w:kern w:val="24"/>
          <w:sz w:val="18"/>
          <w:szCs w:val="18"/>
        </w:rPr>
        <w:tab/>
        <w:t>40%</w:t>
      </w:r>
      <w:r w:rsidRPr="00BF2BEB">
        <w:rPr>
          <w:rFonts w:asciiTheme="minorHAnsi" w:hAnsiTheme="minorHAnsi" w:cs="Arial"/>
          <w:bCs/>
          <w:kern w:val="24"/>
          <w:sz w:val="18"/>
          <w:szCs w:val="18"/>
        </w:rPr>
        <w:tab/>
        <w:t>100%</w:t>
      </w:r>
    </w:p>
    <w:p w14:paraId="5A34FB47"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2017/18</w:t>
      </w:r>
      <w:r w:rsidRPr="00BF2BEB">
        <w:rPr>
          <w:rFonts w:asciiTheme="minorHAnsi" w:hAnsiTheme="minorHAnsi" w:cs="Arial"/>
          <w:bCs/>
          <w:kern w:val="24"/>
          <w:sz w:val="18"/>
          <w:szCs w:val="18"/>
        </w:rPr>
        <w:tab/>
        <w:t>40%</w:t>
      </w:r>
      <w:r w:rsidRPr="00BF2BEB">
        <w:rPr>
          <w:rFonts w:asciiTheme="minorHAnsi" w:hAnsiTheme="minorHAnsi" w:cs="Arial"/>
          <w:bCs/>
          <w:kern w:val="24"/>
          <w:sz w:val="18"/>
          <w:szCs w:val="18"/>
        </w:rPr>
        <w:tab/>
        <w:t>60%</w:t>
      </w:r>
    </w:p>
    <w:p w14:paraId="5A34FB48"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2018/19</w:t>
      </w:r>
      <w:r w:rsidRPr="00BF2BEB">
        <w:rPr>
          <w:rFonts w:asciiTheme="minorHAnsi" w:hAnsiTheme="minorHAnsi" w:cs="Arial"/>
          <w:bCs/>
          <w:kern w:val="24"/>
          <w:sz w:val="18"/>
          <w:szCs w:val="18"/>
        </w:rPr>
        <w:tab/>
        <w:t>20%</w:t>
      </w:r>
      <w:r w:rsidRPr="00BF2BEB">
        <w:rPr>
          <w:rFonts w:asciiTheme="minorHAnsi" w:hAnsiTheme="minorHAnsi" w:cs="Arial"/>
          <w:bCs/>
          <w:kern w:val="24"/>
          <w:sz w:val="18"/>
          <w:szCs w:val="18"/>
        </w:rPr>
        <w:tab/>
        <w:t>60%</w:t>
      </w:r>
    </w:p>
    <w:p w14:paraId="5A34FB49"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2019/20</w:t>
      </w:r>
      <w:r w:rsidRPr="00BF2BEB">
        <w:rPr>
          <w:rFonts w:asciiTheme="minorHAnsi" w:hAnsiTheme="minorHAnsi" w:cs="Arial"/>
          <w:bCs/>
          <w:kern w:val="24"/>
          <w:sz w:val="18"/>
          <w:szCs w:val="18"/>
        </w:rPr>
        <w:tab/>
        <w:t>20%</w:t>
      </w:r>
      <w:r w:rsidRPr="00BF2BEB">
        <w:rPr>
          <w:rFonts w:asciiTheme="minorHAnsi" w:hAnsiTheme="minorHAnsi" w:cs="Arial"/>
          <w:bCs/>
          <w:kern w:val="24"/>
          <w:sz w:val="18"/>
          <w:szCs w:val="18"/>
        </w:rPr>
        <w:tab/>
        <w:t>40%</w:t>
      </w:r>
    </w:p>
    <w:p w14:paraId="5A34FB4A"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2020/21</w:t>
      </w:r>
      <w:r w:rsidRPr="00BF2BEB">
        <w:rPr>
          <w:rFonts w:asciiTheme="minorHAnsi" w:hAnsiTheme="minorHAnsi" w:cs="Arial"/>
          <w:bCs/>
          <w:kern w:val="24"/>
          <w:sz w:val="18"/>
          <w:szCs w:val="18"/>
        </w:rPr>
        <w:tab/>
        <w:t>0%</w:t>
      </w:r>
      <w:r w:rsidRPr="00BF2BEB">
        <w:rPr>
          <w:rFonts w:asciiTheme="minorHAnsi" w:hAnsiTheme="minorHAnsi" w:cs="Arial"/>
          <w:bCs/>
          <w:kern w:val="24"/>
          <w:sz w:val="18"/>
          <w:szCs w:val="18"/>
        </w:rPr>
        <w:tab/>
        <w:t>40%</w:t>
      </w:r>
    </w:p>
    <w:p w14:paraId="5A34FB4B"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2021/22</w:t>
      </w:r>
      <w:r w:rsidRPr="00BF2BEB">
        <w:rPr>
          <w:rFonts w:asciiTheme="minorHAnsi" w:hAnsiTheme="minorHAnsi" w:cs="Arial"/>
          <w:bCs/>
          <w:kern w:val="24"/>
          <w:sz w:val="18"/>
          <w:szCs w:val="18"/>
        </w:rPr>
        <w:tab/>
        <w:t>0%</w:t>
      </w:r>
      <w:r w:rsidRPr="00BF2BEB">
        <w:rPr>
          <w:rFonts w:asciiTheme="minorHAnsi" w:hAnsiTheme="minorHAnsi" w:cs="Arial"/>
          <w:bCs/>
          <w:kern w:val="24"/>
          <w:sz w:val="18"/>
          <w:szCs w:val="18"/>
        </w:rPr>
        <w:tab/>
        <w:t>20%</w:t>
      </w:r>
    </w:p>
    <w:p w14:paraId="5A34FB4C"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sz w:val="18"/>
          <w:szCs w:val="18"/>
        </w:rPr>
      </w:pPr>
      <w:r w:rsidRPr="00BF2BEB">
        <w:rPr>
          <w:rFonts w:asciiTheme="minorHAnsi" w:hAnsiTheme="minorHAnsi" w:cs="Arial"/>
          <w:bCs/>
          <w:kern w:val="24"/>
          <w:sz w:val="18"/>
          <w:szCs w:val="18"/>
        </w:rPr>
        <w:t>2022/23</w:t>
      </w:r>
      <w:r w:rsidRPr="00BF2BEB">
        <w:rPr>
          <w:rFonts w:asciiTheme="minorHAnsi" w:hAnsiTheme="minorHAnsi" w:cs="Arial"/>
          <w:bCs/>
          <w:kern w:val="24"/>
          <w:sz w:val="18"/>
          <w:szCs w:val="18"/>
        </w:rPr>
        <w:tab/>
        <w:t>0%</w:t>
      </w:r>
      <w:r w:rsidRPr="00BF2BEB">
        <w:rPr>
          <w:rFonts w:asciiTheme="minorHAnsi" w:hAnsiTheme="minorHAnsi" w:cs="Arial"/>
          <w:bCs/>
          <w:kern w:val="24"/>
          <w:sz w:val="18"/>
          <w:szCs w:val="18"/>
        </w:rPr>
        <w:tab/>
        <w:t>20%</w:t>
      </w:r>
    </w:p>
    <w:p w14:paraId="5A34FB4D" w14:textId="77777777" w:rsidR="00BF2BEB" w:rsidRPr="00BF2BEB" w:rsidRDefault="00BF2BEB" w:rsidP="00BF2BEB">
      <w:pPr>
        <w:pStyle w:val="NormalWeb"/>
        <w:tabs>
          <w:tab w:val="right" w:pos="2694"/>
          <w:tab w:val="right" w:pos="4536"/>
        </w:tabs>
        <w:spacing w:after="0" w:line="264" w:lineRule="auto"/>
        <w:textAlignment w:val="baseline"/>
        <w:rPr>
          <w:rFonts w:asciiTheme="minorHAnsi" w:hAnsiTheme="minorHAnsi" w:cs="Arial"/>
          <w:bCs/>
          <w:kern w:val="24"/>
          <w:sz w:val="18"/>
          <w:szCs w:val="18"/>
        </w:rPr>
      </w:pPr>
      <w:r w:rsidRPr="00BF2BEB">
        <w:rPr>
          <w:rFonts w:asciiTheme="minorHAnsi" w:hAnsiTheme="minorHAnsi" w:cs="Arial"/>
          <w:bCs/>
          <w:kern w:val="24"/>
          <w:sz w:val="18"/>
          <w:szCs w:val="18"/>
        </w:rPr>
        <w:t>2023/24</w:t>
      </w:r>
      <w:r w:rsidRPr="00BF2BEB">
        <w:rPr>
          <w:rFonts w:asciiTheme="minorHAnsi" w:hAnsiTheme="minorHAnsi" w:cs="Arial"/>
          <w:bCs/>
          <w:kern w:val="24"/>
          <w:sz w:val="18"/>
          <w:szCs w:val="18"/>
        </w:rPr>
        <w:tab/>
        <w:t>0%</w:t>
      </w:r>
      <w:r w:rsidRPr="00BF2BEB">
        <w:rPr>
          <w:rFonts w:asciiTheme="minorHAnsi" w:hAnsiTheme="minorHAnsi" w:cs="Arial"/>
          <w:bCs/>
          <w:kern w:val="24"/>
          <w:sz w:val="18"/>
          <w:szCs w:val="18"/>
        </w:rPr>
        <w:tab/>
        <w:t>0%</w:t>
      </w:r>
    </w:p>
    <w:p w14:paraId="5A34FB4E" w14:textId="77777777" w:rsidR="00BF2BEB" w:rsidRDefault="00BF2BEB" w:rsidP="00EC14A5">
      <w:pPr>
        <w:rPr>
          <w:rFonts w:asciiTheme="minorHAnsi" w:eastAsiaTheme="minorHAnsi" w:hAnsiTheme="minorHAnsi" w:cstheme="minorBidi"/>
        </w:rPr>
      </w:pPr>
    </w:p>
    <w:p w14:paraId="5A34FB4F" w14:textId="379DF585" w:rsidR="00EC14A5" w:rsidRPr="0057759A" w:rsidRDefault="00D3455A" w:rsidP="00EC14A5">
      <w:pPr>
        <w:rPr>
          <w:rFonts w:asciiTheme="minorHAnsi" w:eastAsiaTheme="minorHAnsi" w:hAnsiTheme="minorHAnsi" w:cstheme="minorBidi"/>
        </w:rPr>
      </w:pPr>
      <w:r>
        <w:rPr>
          <w:noProof/>
          <w:lang w:eastAsia="en-NZ"/>
        </w:rPr>
        <mc:AlternateContent>
          <mc:Choice Requires="wps">
            <w:drawing>
              <wp:anchor distT="0" distB="0" distL="114300" distR="114300" simplePos="0" relativeHeight="251666432" behindDoc="0" locked="0" layoutInCell="1" allowOverlap="1" wp14:anchorId="5A34FB6F" wp14:editId="2648BD35">
                <wp:simplePos x="0" y="0"/>
                <wp:positionH relativeFrom="column">
                  <wp:posOffset>568960</wp:posOffset>
                </wp:positionH>
                <wp:positionV relativeFrom="paragraph">
                  <wp:posOffset>311150</wp:posOffset>
                </wp:positionV>
                <wp:extent cx="257175" cy="264795"/>
                <wp:effectExtent l="0" t="381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4" w14:textId="77777777" w:rsidR="00A22BDD" w:rsidRDefault="00A22BDD" w:rsidP="001D29E8">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34FB6F" id="_x0000_t202" coordsize="21600,21600" o:spt="202" path="m,l,21600r21600,l21600,xe">
                <v:stroke joinstyle="miter"/>
                <v:path gradientshapeok="t" o:connecttype="rect"/>
              </v:shapetype>
              <v:shape id="Text Box 20" o:spid="_x0000_s1026" type="#_x0000_t202" style="position:absolute;margin-left:44.8pt;margin-top:24.5pt;width:20.25pt;height:2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52ztQ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" filled="f" stroked="f">
                <v:textbox>
                  <w:txbxContent>
                    <w:p w14:paraId="5A34FB84" w14:textId="77777777" w:rsidR="00A22BDD" w:rsidRDefault="00A22BDD" w:rsidP="001D29E8">
                      <w:r>
                        <w:t>*</w:t>
                      </w:r>
                    </w:p>
                  </w:txbxContent>
                </v:textbox>
              </v:shape>
            </w:pict>
          </mc:Fallback>
        </mc:AlternateContent>
      </w:r>
      <w:r>
        <w:rPr>
          <w:rFonts w:asciiTheme="minorHAnsi" w:eastAsiaTheme="minorHAnsi" w:hAnsiTheme="minorHAnsi" w:cstheme="minorBidi"/>
          <w:noProof/>
          <w:lang w:eastAsia="en-NZ"/>
        </w:rPr>
        <mc:AlternateContent>
          <mc:Choice Requires="wps">
            <w:drawing>
              <wp:anchor distT="0" distB="0" distL="114300" distR="114300" simplePos="0" relativeHeight="251670528" behindDoc="1" locked="0" layoutInCell="1" allowOverlap="1" wp14:anchorId="5A34FB70" wp14:editId="1A2B9A13">
                <wp:simplePos x="0" y="0"/>
                <wp:positionH relativeFrom="column">
                  <wp:posOffset>-134620</wp:posOffset>
                </wp:positionH>
                <wp:positionV relativeFrom="paragraph">
                  <wp:posOffset>50800</wp:posOffset>
                </wp:positionV>
                <wp:extent cx="3912235" cy="344805"/>
                <wp:effectExtent l="1270" t="635" r="127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5" w14:textId="77777777" w:rsidR="00A22BDD" w:rsidRPr="00EC14A5" w:rsidRDefault="00A22BDD" w:rsidP="00BF2BEB">
                            <w:pPr>
                              <w:rPr>
                                <w:rFonts w:asciiTheme="minorHAnsi" w:eastAsiaTheme="minorHAnsi" w:hAnsiTheme="minorHAnsi" w:cstheme="minorBidi"/>
                                <w:b/>
                              </w:rPr>
                            </w:pPr>
                            <w:r w:rsidRPr="00EC14A5">
                              <w:rPr>
                                <w:rFonts w:asciiTheme="minorHAnsi" w:eastAsiaTheme="minorHAnsi" w:hAnsiTheme="minorHAnsi" w:cstheme="minorBidi"/>
                                <w:b/>
                              </w:rPr>
                              <w:t>Figure 1: Application of transitional discounts (process)</w:t>
                            </w:r>
                          </w:p>
                          <w:p w14:paraId="5A34FB86" w14:textId="77777777" w:rsidR="00A22BDD" w:rsidRDefault="00A22BDD" w:rsidP="00BF2B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FB70" id="Text Box 26" o:spid="_x0000_s1027" type="#_x0000_t202" style="position:absolute;margin-left:-10.6pt;margin-top:4pt;width:308.05pt;height:2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dB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" filled="f" stroked="f">
                <v:textbox>
                  <w:txbxContent>
                    <w:p w14:paraId="5A34FB85" w14:textId="77777777" w:rsidR="00A22BDD" w:rsidRPr="00EC14A5" w:rsidRDefault="00A22BDD" w:rsidP="00BF2BEB">
                      <w:pPr>
                        <w:rPr>
                          <w:rFonts w:asciiTheme="minorHAnsi" w:eastAsiaTheme="minorHAnsi" w:hAnsiTheme="minorHAnsi" w:cstheme="minorBidi"/>
                          <w:b/>
                        </w:rPr>
                      </w:pPr>
                      <w:r w:rsidRPr="00EC14A5">
                        <w:rPr>
                          <w:rFonts w:asciiTheme="minorHAnsi" w:eastAsiaTheme="minorHAnsi" w:hAnsiTheme="minorHAnsi" w:cstheme="minorBidi"/>
                          <w:b/>
                        </w:rPr>
                        <w:t>Figure 1: Application of transitional discounts (process)</w:t>
                      </w:r>
                    </w:p>
                    <w:p w14:paraId="5A34FB86" w14:textId="77777777" w:rsidR="00A22BDD" w:rsidRDefault="00A22BDD" w:rsidP="00BF2BEB"/>
                  </w:txbxContent>
                </v:textbox>
              </v:shape>
            </w:pict>
          </mc:Fallback>
        </mc:AlternateContent>
      </w:r>
      <w:r>
        <w:rPr>
          <w:rFonts w:asciiTheme="minorHAnsi" w:eastAsiaTheme="minorHAnsi" w:hAnsiTheme="minorHAnsi" w:cstheme="minorBidi"/>
          <w:noProof/>
          <w:lang w:eastAsia="en-NZ"/>
        </w:rPr>
        <mc:AlternateContent>
          <mc:Choice Requires="wps">
            <w:drawing>
              <wp:anchor distT="0" distB="0" distL="114300" distR="114300" simplePos="0" relativeHeight="251667456" behindDoc="0" locked="0" layoutInCell="1" allowOverlap="1" wp14:anchorId="5A34FB71" wp14:editId="1E1404C2">
                <wp:simplePos x="0" y="0"/>
                <wp:positionH relativeFrom="column">
                  <wp:posOffset>-48260</wp:posOffset>
                </wp:positionH>
                <wp:positionV relativeFrom="paragraph">
                  <wp:posOffset>1356360</wp:posOffset>
                </wp:positionV>
                <wp:extent cx="6640195" cy="264795"/>
                <wp:effectExtent l="1905" t="1270" r="0" b="635"/>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019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7" w14:textId="77777777" w:rsidR="00A22BDD" w:rsidRPr="001D29E8" w:rsidRDefault="00A22BDD" w:rsidP="001D29E8">
                            <w:pPr>
                              <w:rPr>
                                <w:sz w:val="16"/>
                                <w:szCs w:val="16"/>
                              </w:rPr>
                            </w:pPr>
                            <w:r w:rsidRPr="001D29E8">
                              <w:rPr>
                                <w:sz w:val="16"/>
                                <w:szCs w:val="16"/>
                              </w:rPr>
                              <w:t xml:space="preserve">* Total cost excludes minimum commitments.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FB71" id="Text Box 23" o:spid="_x0000_s1028" type="#_x0000_t202" style="position:absolute;margin-left:-3.8pt;margin-top:106.8pt;width:522.8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2PcuAIAAME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" filled="f" stroked="f">
                <v:textbox>
                  <w:txbxContent>
                    <w:p w14:paraId="5A34FB87" w14:textId="77777777" w:rsidR="00A22BDD" w:rsidRPr="001D29E8" w:rsidRDefault="00A22BDD" w:rsidP="001D29E8">
                      <w:pPr>
                        <w:rPr>
                          <w:sz w:val="16"/>
                          <w:szCs w:val="16"/>
                        </w:rPr>
                      </w:pPr>
                      <w:r w:rsidRPr="001D29E8">
                        <w:rPr>
                          <w:sz w:val="16"/>
                          <w:szCs w:val="16"/>
                        </w:rPr>
                        <w:t xml:space="preserve">* Total cost excludes minimum commitments. </w:t>
                      </w:r>
                    </w:p>
                  </w:txbxContent>
                </v:textbox>
              </v:shape>
            </w:pict>
          </mc:Fallback>
        </mc:AlternateContent>
      </w:r>
      <w:r w:rsidR="00BF2BEB">
        <w:rPr>
          <w:rFonts w:asciiTheme="minorHAnsi" w:eastAsiaTheme="minorHAnsi" w:hAnsiTheme="minorHAnsi" w:cstheme="minorBidi"/>
          <w:noProof/>
          <w:lang w:eastAsia="en-NZ"/>
        </w:rPr>
        <w:drawing>
          <wp:anchor distT="0" distB="0" distL="114300" distR="114300" simplePos="0" relativeHeight="251665408" behindDoc="1" locked="0" layoutInCell="1" allowOverlap="1" wp14:anchorId="5A34FB72" wp14:editId="5A34FB73">
            <wp:simplePos x="0" y="0"/>
            <wp:positionH relativeFrom="column">
              <wp:posOffset>-65405</wp:posOffset>
            </wp:positionH>
            <wp:positionV relativeFrom="paragraph">
              <wp:posOffset>302260</wp:posOffset>
            </wp:positionV>
            <wp:extent cx="6707505" cy="109220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707505" cy="1092200"/>
                    </a:xfrm>
                    <a:prstGeom prst="rect">
                      <a:avLst/>
                    </a:prstGeom>
                    <a:noFill/>
                    <a:ln w="9525">
                      <a:noFill/>
                      <a:miter lim="800000"/>
                      <a:headEnd/>
                      <a:tailEnd/>
                    </a:ln>
                  </pic:spPr>
                </pic:pic>
              </a:graphicData>
            </a:graphic>
          </wp:anchor>
        </w:drawing>
      </w:r>
      <w:r w:rsidR="00BF2BEB">
        <w:rPr>
          <w:rFonts w:asciiTheme="minorHAnsi" w:eastAsiaTheme="minorHAnsi" w:hAnsiTheme="minorHAnsi" w:cstheme="minorBidi"/>
        </w:rPr>
        <w:br w:type="column"/>
      </w:r>
      <w:r w:rsidR="00EC14A5" w:rsidRPr="0057759A">
        <w:rPr>
          <w:rFonts w:asciiTheme="minorHAnsi" w:eastAsiaTheme="minorHAnsi" w:hAnsiTheme="minorHAnsi" w:cstheme="minorBidi"/>
        </w:rPr>
        <w:t>In-kind cont</w:t>
      </w:r>
      <w:r w:rsidR="007D5A6B">
        <w:rPr>
          <w:rFonts w:asciiTheme="minorHAnsi" w:eastAsiaTheme="minorHAnsi" w:hAnsiTheme="minorHAnsi" w:cstheme="minorBidi"/>
        </w:rPr>
        <w:t>ributions</w:t>
      </w:r>
      <w:r w:rsidR="00EC14A5" w:rsidRPr="0057759A">
        <w:rPr>
          <w:rFonts w:asciiTheme="minorHAnsi" w:eastAsiaTheme="minorHAnsi" w:hAnsiTheme="minorHAnsi" w:cstheme="minorBidi"/>
        </w:rPr>
        <w:t xml:space="preserve"> are deducted from the final cost allocation in lieu of cash payment following the final financial reconciliation for the ac</w:t>
      </w:r>
      <w:r w:rsidR="00EC14A5">
        <w:rPr>
          <w:rFonts w:asciiTheme="minorHAnsi" w:eastAsiaTheme="minorHAnsi" w:hAnsiTheme="minorHAnsi" w:cstheme="minorBidi"/>
        </w:rPr>
        <w:t xml:space="preserve">tivities undertaken in the OA. </w:t>
      </w:r>
      <w:r w:rsidR="00EC14A5" w:rsidRPr="0057759A">
        <w:rPr>
          <w:rFonts w:asciiTheme="minorHAnsi" w:eastAsiaTheme="minorHAnsi" w:hAnsiTheme="minorHAnsi" w:cstheme="minorBidi"/>
        </w:rPr>
        <w:t>The transitional discount is applied to actual expenditure within the financial year it is spent.</w:t>
      </w:r>
    </w:p>
    <w:p w14:paraId="5A34FB50" w14:textId="77777777" w:rsidR="002D659A" w:rsidRDefault="00EC14A5" w:rsidP="002D659A">
      <w:pPr>
        <w:rPr>
          <w:rFonts w:asciiTheme="minorHAnsi" w:hAnsiTheme="minorHAnsi"/>
        </w:rPr>
      </w:pPr>
      <w:r w:rsidRPr="002D659A">
        <w:rPr>
          <w:rFonts w:asciiTheme="minorHAnsi" w:eastAsiaTheme="minorHAnsi" w:hAnsiTheme="minorHAnsi" w:cstheme="minorBidi"/>
        </w:rPr>
        <w:t>The process is shown in Figure 1. Figure 2 offers a worked example of how a transitional discount will be applied. It is based on a scenario where:</w:t>
      </w:r>
      <w:r w:rsidRPr="002D659A">
        <w:rPr>
          <w:rFonts w:asciiTheme="minorHAnsi" w:hAnsiTheme="minorHAnsi"/>
        </w:rPr>
        <w:t xml:space="preserve"> </w:t>
      </w:r>
    </w:p>
    <w:p w14:paraId="5A34FB51" w14:textId="77777777" w:rsidR="00EC14A5" w:rsidRPr="008B5BCC" w:rsidRDefault="00EC14A5" w:rsidP="002D659A">
      <w:pPr>
        <w:pStyle w:val="ListParagraph"/>
        <w:numPr>
          <w:ilvl w:val="1"/>
          <w:numId w:val="2"/>
        </w:numPr>
        <w:ind w:left="426" w:hanging="426"/>
      </w:pPr>
      <w:r w:rsidRPr="008B5BCC">
        <w:t>$1 million is the total cost of an agreed readiness programme</w:t>
      </w:r>
    </w:p>
    <w:p w14:paraId="5A34FB52" w14:textId="77777777" w:rsidR="00EC14A5" w:rsidRPr="008B5BCC" w:rsidRDefault="00EC14A5" w:rsidP="008B5BCC">
      <w:pPr>
        <w:pStyle w:val="ListParagraph"/>
        <w:numPr>
          <w:ilvl w:val="1"/>
          <w:numId w:val="2"/>
        </w:numPr>
        <w:ind w:left="426" w:hanging="426"/>
      </w:pPr>
      <w:r w:rsidRPr="008B5BCC">
        <w:t>The beneficiary cost shares are 30 percent public and 70 percent industry</w:t>
      </w:r>
    </w:p>
    <w:p w14:paraId="5A34FB53" w14:textId="77777777" w:rsidR="00EC14A5" w:rsidRPr="008B5BCC" w:rsidRDefault="00EC14A5" w:rsidP="008B5BCC">
      <w:pPr>
        <w:pStyle w:val="ListParagraph"/>
        <w:numPr>
          <w:ilvl w:val="1"/>
          <w:numId w:val="2"/>
        </w:numPr>
        <w:ind w:left="426" w:hanging="426"/>
      </w:pPr>
      <w:r w:rsidRPr="008B5BCC">
        <w:t>The transitiona</w:t>
      </w:r>
      <w:bookmarkStart w:id="0" w:name="_GoBack"/>
      <w:bookmarkEnd w:id="0"/>
      <w:r w:rsidRPr="008B5BCC">
        <w:t>l discount is 60 percent</w:t>
      </w:r>
    </w:p>
    <w:p w14:paraId="5A34FB54" w14:textId="7D7C9B83" w:rsidR="00EC14A5" w:rsidRPr="0057759A" w:rsidRDefault="00EC14A5" w:rsidP="00EC14A5">
      <w:pPr>
        <w:rPr>
          <w:rFonts w:asciiTheme="minorHAnsi" w:eastAsiaTheme="minorHAnsi" w:hAnsiTheme="minorHAnsi" w:cstheme="minorBidi"/>
          <w:color w:val="C00000"/>
        </w:rPr>
      </w:pPr>
      <w:r w:rsidRPr="0057759A">
        <w:rPr>
          <w:rFonts w:asciiTheme="minorHAnsi" w:eastAsiaTheme="minorHAnsi" w:hAnsiTheme="minorHAnsi" w:cstheme="minorBidi"/>
        </w:rPr>
        <w:t xml:space="preserve">To calculate the final percentage industry will pay using an agreed beneficiary cost share, the activity cost and transitional discount year use the </w:t>
      </w:r>
      <w:r w:rsidR="00212CA6">
        <w:rPr>
          <w:rFonts w:asciiTheme="minorHAnsi" w:eastAsiaTheme="minorHAnsi" w:hAnsiTheme="minorHAnsi" w:cstheme="minorBidi"/>
        </w:rPr>
        <w:t xml:space="preserve">GIA cost sharing and transitional discount worksheet </w:t>
      </w:r>
      <w:r w:rsidR="00A70E33">
        <w:rPr>
          <w:rFonts w:asciiTheme="minorHAnsi" w:eastAsiaTheme="minorHAnsi" w:hAnsiTheme="minorHAnsi" w:cstheme="minorBidi"/>
        </w:rPr>
        <w:t>o</w:t>
      </w:r>
      <w:r w:rsidR="00212CA6">
        <w:rPr>
          <w:rFonts w:asciiTheme="minorHAnsi" w:eastAsiaTheme="minorHAnsi" w:hAnsiTheme="minorHAnsi" w:cstheme="minorBidi"/>
        </w:rPr>
        <w:t xml:space="preserve">n the GIA </w:t>
      </w:r>
      <w:r w:rsidR="00A70E33">
        <w:rPr>
          <w:rFonts w:asciiTheme="minorHAnsi" w:eastAsiaTheme="minorHAnsi" w:hAnsiTheme="minorHAnsi" w:cstheme="minorBidi"/>
        </w:rPr>
        <w:t>website</w:t>
      </w:r>
      <w:r w:rsidR="00212CA6">
        <w:rPr>
          <w:rFonts w:asciiTheme="minorHAnsi" w:eastAsiaTheme="minorHAnsi" w:hAnsiTheme="minorHAnsi" w:cstheme="minorBidi"/>
        </w:rPr>
        <w:t xml:space="preserve">. </w:t>
      </w:r>
    </w:p>
    <w:p w14:paraId="5A34FB55" w14:textId="77777777" w:rsidR="00EC14A5" w:rsidRPr="0057759A" w:rsidRDefault="00EC14A5" w:rsidP="00EC14A5">
      <w:pPr>
        <w:rPr>
          <w:rFonts w:asciiTheme="minorHAnsi" w:eastAsiaTheme="minorHAnsi" w:hAnsiTheme="minorHAnsi" w:cstheme="minorBidi"/>
        </w:rPr>
      </w:pPr>
      <w:r w:rsidRPr="0057759A">
        <w:rPr>
          <w:rFonts w:asciiTheme="minorHAnsi" w:eastAsiaTheme="minorHAnsi" w:hAnsiTheme="minorHAnsi" w:cstheme="minorBidi"/>
        </w:rPr>
        <w:t xml:space="preserve">The process and </w:t>
      </w:r>
      <w:r w:rsidR="00B72339">
        <w:rPr>
          <w:rFonts w:asciiTheme="minorHAnsi" w:eastAsiaTheme="minorHAnsi" w:hAnsiTheme="minorHAnsi" w:cstheme="minorBidi"/>
        </w:rPr>
        <w:t>worksheet</w:t>
      </w:r>
      <w:r w:rsidRPr="0057759A">
        <w:rPr>
          <w:rFonts w:asciiTheme="minorHAnsi" w:eastAsiaTheme="minorHAnsi" w:hAnsiTheme="minorHAnsi" w:cstheme="minorBidi"/>
        </w:rPr>
        <w:t xml:space="preserve"> provide the final percentage of total costs</w:t>
      </w:r>
      <w:r w:rsidR="001D29E8">
        <w:rPr>
          <w:rFonts w:asciiTheme="minorHAnsi" w:eastAsiaTheme="minorHAnsi" w:hAnsiTheme="minorHAnsi" w:cstheme="minorBidi"/>
        </w:rPr>
        <w:t xml:space="preserve"> (excluding minimum commitments)</w:t>
      </w:r>
      <w:r w:rsidRPr="0057759A">
        <w:rPr>
          <w:rFonts w:asciiTheme="minorHAnsi" w:eastAsiaTheme="minorHAnsi" w:hAnsiTheme="minorHAnsi" w:cstheme="minorBidi"/>
        </w:rPr>
        <w:t xml:space="preserve"> that industry signatories will collectively pay</w:t>
      </w:r>
      <w:r w:rsidR="00B72339">
        <w:rPr>
          <w:rFonts w:asciiTheme="minorHAnsi" w:eastAsiaTheme="minorHAnsi" w:hAnsiTheme="minorHAnsi" w:cstheme="minorBidi"/>
        </w:rPr>
        <w:t xml:space="preserve">. It </w:t>
      </w:r>
      <w:r w:rsidRPr="0057759A">
        <w:rPr>
          <w:rFonts w:asciiTheme="minorHAnsi" w:eastAsiaTheme="minorHAnsi" w:hAnsiTheme="minorHAnsi" w:cstheme="minorBidi"/>
        </w:rPr>
        <w:t>does not allow for:</w:t>
      </w:r>
    </w:p>
    <w:p w14:paraId="5A34FB56" w14:textId="77777777" w:rsidR="00EC14A5" w:rsidRPr="008B5BCC" w:rsidRDefault="00EC14A5" w:rsidP="008B5BCC">
      <w:pPr>
        <w:pStyle w:val="ListParagraph"/>
        <w:numPr>
          <w:ilvl w:val="1"/>
          <w:numId w:val="2"/>
        </w:numPr>
        <w:ind w:left="426" w:hanging="426"/>
      </w:pPr>
      <w:r w:rsidRPr="008B5BCC">
        <w:t>Allocating final costs between multiple industries</w:t>
      </w:r>
    </w:p>
    <w:p w14:paraId="5A34FB57" w14:textId="77777777" w:rsidR="00212CA6" w:rsidRDefault="00EC14A5" w:rsidP="008B5BCC">
      <w:pPr>
        <w:pStyle w:val="ListParagraph"/>
        <w:numPr>
          <w:ilvl w:val="1"/>
          <w:numId w:val="2"/>
        </w:numPr>
        <w:ind w:left="426" w:hanging="426"/>
      </w:pPr>
      <w:r w:rsidRPr="008B5BCC">
        <w:t>Reconciling final costs with in-kind contributions</w:t>
      </w:r>
    </w:p>
    <w:p w14:paraId="5A34FB58" w14:textId="77777777" w:rsidR="00212CA6" w:rsidRDefault="00212CA6">
      <w:r>
        <w:br w:type="page"/>
      </w:r>
    </w:p>
    <w:p w14:paraId="5A34FB59" w14:textId="0DF126FE" w:rsidR="00EC14A5" w:rsidRPr="008B5BCC" w:rsidRDefault="00D3455A" w:rsidP="00212CA6">
      <w:pPr>
        <w:pStyle w:val="ListParagraph"/>
        <w:ind w:left="426"/>
      </w:pPr>
      <w:r>
        <w:rPr>
          <w:i/>
          <w:noProof/>
          <w:sz w:val="18"/>
          <w:szCs w:val="18"/>
          <w:lang w:eastAsia="en-NZ"/>
        </w:rPr>
        <w:lastRenderedPageBreak/>
        <mc:AlternateContent>
          <mc:Choice Requires="wps">
            <w:drawing>
              <wp:anchor distT="0" distB="0" distL="114300" distR="114300" simplePos="0" relativeHeight="251664384" behindDoc="1" locked="0" layoutInCell="1" allowOverlap="1" wp14:anchorId="5A34FB74" wp14:editId="1BAB192A">
                <wp:simplePos x="0" y="0"/>
                <wp:positionH relativeFrom="column">
                  <wp:posOffset>47625</wp:posOffset>
                </wp:positionH>
                <wp:positionV relativeFrom="paragraph">
                  <wp:posOffset>172085</wp:posOffset>
                </wp:positionV>
                <wp:extent cx="3912235" cy="310515"/>
                <wp:effectExtent l="254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23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8" w14:textId="77777777" w:rsidR="00A22BDD" w:rsidRPr="00EC14A5" w:rsidRDefault="00A22BDD" w:rsidP="00212CA6">
                            <w:pPr>
                              <w:rPr>
                                <w:rFonts w:asciiTheme="minorHAnsi" w:eastAsiaTheme="minorHAnsi" w:hAnsiTheme="minorHAnsi" w:cstheme="minorBidi"/>
                                <w:b/>
                              </w:rPr>
                            </w:pPr>
                            <w:r>
                              <w:rPr>
                                <w:rFonts w:asciiTheme="minorHAnsi" w:eastAsiaTheme="minorHAnsi" w:hAnsiTheme="minorHAnsi" w:cstheme="minorBidi"/>
                                <w:b/>
                              </w:rPr>
                              <w:t>Figure 2</w:t>
                            </w:r>
                            <w:r w:rsidRPr="00EC14A5">
                              <w:rPr>
                                <w:rFonts w:asciiTheme="minorHAnsi" w:eastAsiaTheme="minorHAnsi" w:hAnsiTheme="minorHAnsi" w:cstheme="minorBidi"/>
                                <w:b/>
                              </w:rPr>
                              <w:t xml:space="preserve">: </w:t>
                            </w:r>
                            <w:r>
                              <w:rPr>
                                <w:rFonts w:asciiTheme="minorHAnsi" w:eastAsiaTheme="minorHAnsi" w:hAnsiTheme="minorHAnsi" w:cstheme="minorBidi"/>
                                <w:b/>
                              </w:rPr>
                              <w:t>Applying a transitional discount</w:t>
                            </w:r>
                          </w:p>
                          <w:p w14:paraId="5A34FB89" w14:textId="77777777" w:rsidR="00A22BDD" w:rsidRDefault="00A22BDD" w:rsidP="00212C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FB74" id="Text Box 17" o:spid="_x0000_s1029" type="#_x0000_t202" style="position:absolute;left:0;text-align:left;margin-left:3.75pt;margin-top:13.55pt;width:308.05pt;height:2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4ug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" filled="f" stroked="f">
                <v:textbox>
                  <w:txbxContent>
                    <w:p w14:paraId="5A34FB88" w14:textId="77777777" w:rsidR="00A22BDD" w:rsidRPr="00EC14A5" w:rsidRDefault="00A22BDD" w:rsidP="00212CA6">
                      <w:pPr>
                        <w:rPr>
                          <w:rFonts w:asciiTheme="minorHAnsi" w:eastAsiaTheme="minorHAnsi" w:hAnsiTheme="minorHAnsi" w:cstheme="minorBidi"/>
                          <w:b/>
                        </w:rPr>
                      </w:pPr>
                      <w:r>
                        <w:rPr>
                          <w:rFonts w:asciiTheme="minorHAnsi" w:eastAsiaTheme="minorHAnsi" w:hAnsiTheme="minorHAnsi" w:cstheme="minorBidi"/>
                          <w:b/>
                        </w:rPr>
                        <w:t>Figure 2</w:t>
                      </w:r>
                      <w:r w:rsidRPr="00EC14A5">
                        <w:rPr>
                          <w:rFonts w:asciiTheme="minorHAnsi" w:eastAsiaTheme="minorHAnsi" w:hAnsiTheme="minorHAnsi" w:cstheme="minorBidi"/>
                          <w:b/>
                        </w:rPr>
                        <w:t xml:space="preserve">: </w:t>
                      </w:r>
                      <w:r>
                        <w:rPr>
                          <w:rFonts w:asciiTheme="minorHAnsi" w:eastAsiaTheme="minorHAnsi" w:hAnsiTheme="minorHAnsi" w:cstheme="minorBidi"/>
                          <w:b/>
                        </w:rPr>
                        <w:t>Applying a transitional discount</w:t>
                      </w:r>
                    </w:p>
                    <w:p w14:paraId="5A34FB89" w14:textId="77777777" w:rsidR="00A22BDD" w:rsidRDefault="00A22BDD" w:rsidP="00212CA6"/>
                  </w:txbxContent>
                </v:textbox>
              </v:shape>
            </w:pict>
          </mc:Fallback>
        </mc:AlternateContent>
      </w:r>
    </w:p>
    <w:p w14:paraId="5A34FB5A" w14:textId="77777777" w:rsidR="00A91BC5" w:rsidRPr="008B5BCC" w:rsidRDefault="00A91BC5" w:rsidP="008B5BCC">
      <w:pPr>
        <w:pStyle w:val="ListParagraph"/>
        <w:numPr>
          <w:ilvl w:val="0"/>
          <w:numId w:val="5"/>
        </w:numPr>
        <w:spacing w:after="0" w:line="240" w:lineRule="auto"/>
        <w:rPr>
          <w:rFonts w:asciiTheme="minorHAnsi" w:hAnsiTheme="minorHAnsi"/>
        </w:rPr>
        <w:sectPr w:rsidR="00A91BC5" w:rsidRPr="008B5BCC" w:rsidSect="00BC6B3B">
          <w:footerReference w:type="default" r:id="rId16"/>
          <w:type w:val="continuous"/>
          <w:pgSz w:w="11906" w:h="16838"/>
          <w:pgMar w:top="851" w:right="709" w:bottom="567" w:left="709" w:header="709" w:footer="353" w:gutter="0"/>
          <w:cols w:num="2" w:space="708"/>
          <w:docGrid w:linePitch="360"/>
        </w:sectPr>
      </w:pPr>
    </w:p>
    <w:p w14:paraId="5A34FB5B" w14:textId="77777777" w:rsidR="00F84267" w:rsidRDefault="00F84267" w:rsidP="00EC14A5">
      <w:pPr>
        <w:spacing w:after="0" w:line="240" w:lineRule="auto"/>
        <w:rPr>
          <w:i/>
          <w:sz w:val="18"/>
          <w:szCs w:val="18"/>
        </w:rPr>
      </w:pPr>
    </w:p>
    <w:p w14:paraId="5A34FB5C" w14:textId="77777777" w:rsidR="00A23C58" w:rsidRDefault="00A23C58" w:rsidP="00EC14A5">
      <w:pPr>
        <w:spacing w:after="0" w:line="240" w:lineRule="auto"/>
        <w:rPr>
          <w:i/>
          <w:sz w:val="18"/>
          <w:szCs w:val="18"/>
        </w:rPr>
      </w:pPr>
    </w:p>
    <w:p w14:paraId="5A34FB5D" w14:textId="77777777" w:rsidR="00A23C58" w:rsidRDefault="00A23C58" w:rsidP="00EC14A5">
      <w:pPr>
        <w:spacing w:after="0" w:line="240" w:lineRule="auto"/>
        <w:rPr>
          <w:i/>
          <w:sz w:val="18"/>
          <w:szCs w:val="18"/>
        </w:rPr>
      </w:pPr>
    </w:p>
    <w:p w14:paraId="5A34FB5E" w14:textId="769A11CE" w:rsidR="00A23C58" w:rsidRDefault="00D3455A" w:rsidP="00A23C58">
      <w:pPr>
        <w:spacing w:after="0" w:line="240" w:lineRule="auto"/>
        <w:jc w:val="center"/>
        <w:rPr>
          <w:i/>
          <w:sz w:val="18"/>
          <w:szCs w:val="18"/>
        </w:rPr>
      </w:pPr>
      <w:r>
        <w:rPr>
          <w:rFonts w:asciiTheme="minorHAnsi" w:hAnsiTheme="minorHAnsi"/>
          <w:noProof/>
          <w:lang w:eastAsia="en-NZ"/>
        </w:rPr>
        <mc:AlternateContent>
          <mc:Choice Requires="wps">
            <w:drawing>
              <wp:anchor distT="0" distB="0" distL="114300" distR="114300" simplePos="0" relativeHeight="251669504" behindDoc="0" locked="0" layoutInCell="1" allowOverlap="1" wp14:anchorId="5A34FB75" wp14:editId="4D454CA4">
                <wp:simplePos x="0" y="0"/>
                <wp:positionH relativeFrom="column">
                  <wp:posOffset>2433955</wp:posOffset>
                </wp:positionH>
                <wp:positionV relativeFrom="paragraph">
                  <wp:posOffset>316865</wp:posOffset>
                </wp:positionV>
                <wp:extent cx="257175" cy="264795"/>
                <wp:effectExtent l="0" t="0" r="1905"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A" w14:textId="77777777" w:rsidR="00A22BDD" w:rsidRPr="001D29E8" w:rsidRDefault="00A22BDD" w:rsidP="001D29E8">
                            <w:pPr>
                              <w:rPr>
                                <w:color w:val="FFFFFF" w:themeColor="background1"/>
                              </w:rPr>
                            </w:pPr>
                            <w:r w:rsidRPr="001D29E8">
                              <w:rPr>
                                <w:color w:val="FFFFFF" w:themeColor="background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FB75" id="Text Box 25" o:spid="_x0000_s1030" type="#_x0000_t202" style="position:absolute;left:0;text-align:left;margin-left:191.65pt;margin-top:24.95pt;width:20.25pt;height:2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" filled="f" stroked="f">
                <v:textbox>
                  <w:txbxContent>
                    <w:p w14:paraId="5A34FB8A" w14:textId="77777777" w:rsidR="00A22BDD" w:rsidRPr="001D29E8" w:rsidRDefault="00A22BDD" w:rsidP="001D29E8">
                      <w:pPr>
                        <w:rPr>
                          <w:color w:val="FFFFFF" w:themeColor="background1"/>
                        </w:rPr>
                      </w:pPr>
                      <w:r w:rsidRPr="001D29E8">
                        <w:rPr>
                          <w:color w:val="FFFFFF" w:themeColor="background1"/>
                        </w:rPr>
                        <w:t>*</w:t>
                      </w:r>
                    </w:p>
                  </w:txbxContent>
                </v:textbox>
              </v:shape>
            </w:pict>
          </mc:Fallback>
        </mc:AlternateContent>
      </w:r>
      <w:r w:rsidR="00A23C58" w:rsidRPr="00A23C58">
        <w:rPr>
          <w:noProof/>
          <w:szCs w:val="18"/>
          <w:lang w:eastAsia="en-NZ"/>
        </w:rPr>
        <w:drawing>
          <wp:inline distT="0" distB="0" distL="0" distR="0" wp14:anchorId="5A34FB76" wp14:editId="5A34FB77">
            <wp:extent cx="5438775" cy="6281420"/>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5438775" cy="6281420"/>
                    </a:xfrm>
                    <a:prstGeom prst="rect">
                      <a:avLst/>
                    </a:prstGeom>
                    <a:noFill/>
                    <a:ln w="9525">
                      <a:noFill/>
                      <a:miter lim="800000"/>
                      <a:headEnd/>
                      <a:tailEnd/>
                    </a:ln>
                  </pic:spPr>
                </pic:pic>
              </a:graphicData>
            </a:graphic>
          </wp:inline>
        </w:drawing>
      </w:r>
    </w:p>
    <w:p w14:paraId="5A34FB5F" w14:textId="77777777" w:rsidR="00B72339" w:rsidRDefault="00B72339" w:rsidP="00A23C58">
      <w:pPr>
        <w:spacing w:after="0" w:line="240" w:lineRule="auto"/>
        <w:jc w:val="center"/>
        <w:rPr>
          <w:i/>
          <w:sz w:val="18"/>
          <w:szCs w:val="18"/>
        </w:rPr>
      </w:pPr>
    </w:p>
    <w:p w14:paraId="5A34FB60" w14:textId="266348BA" w:rsidR="00B72339" w:rsidRDefault="00D3455A" w:rsidP="00A23C58">
      <w:pPr>
        <w:spacing w:after="0" w:line="240" w:lineRule="auto"/>
        <w:jc w:val="center"/>
        <w:rPr>
          <w:i/>
          <w:sz w:val="18"/>
          <w:szCs w:val="18"/>
        </w:rPr>
      </w:pPr>
      <w:r>
        <w:rPr>
          <w:i/>
          <w:noProof/>
          <w:sz w:val="18"/>
          <w:szCs w:val="18"/>
          <w:lang w:eastAsia="en-NZ"/>
        </w:rPr>
        <mc:AlternateContent>
          <mc:Choice Requires="wps">
            <w:drawing>
              <wp:anchor distT="0" distB="0" distL="114300" distR="114300" simplePos="0" relativeHeight="251668480" behindDoc="0" locked="0" layoutInCell="1" allowOverlap="1" wp14:anchorId="5A34FB78" wp14:editId="2A9161D7">
                <wp:simplePos x="0" y="0"/>
                <wp:positionH relativeFrom="column">
                  <wp:posOffset>603250</wp:posOffset>
                </wp:positionH>
                <wp:positionV relativeFrom="paragraph">
                  <wp:posOffset>20320</wp:posOffset>
                </wp:positionV>
                <wp:extent cx="4441825" cy="264795"/>
                <wp:effectExtent l="0" t="0" r="635"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4FB8B" w14:textId="77777777" w:rsidR="00A22BDD" w:rsidRPr="001D29E8" w:rsidRDefault="00A22BDD" w:rsidP="001D29E8">
                            <w:pPr>
                              <w:rPr>
                                <w:sz w:val="16"/>
                                <w:szCs w:val="16"/>
                              </w:rPr>
                            </w:pPr>
                            <w:r>
                              <w:rPr>
                                <w:sz w:val="16"/>
                                <w:szCs w:val="16"/>
                              </w:rPr>
                              <w:t xml:space="preserve">* Total cost </w:t>
                            </w:r>
                            <w:r w:rsidRPr="001D29E8">
                              <w:rPr>
                                <w:sz w:val="16"/>
                                <w:szCs w:val="16"/>
                              </w:rPr>
                              <w:t>exclude</w:t>
                            </w:r>
                            <w:r>
                              <w:rPr>
                                <w:sz w:val="16"/>
                                <w:szCs w:val="16"/>
                              </w:rPr>
                              <w:t>s</w:t>
                            </w:r>
                            <w:r w:rsidRPr="001D29E8">
                              <w:rPr>
                                <w:sz w:val="16"/>
                                <w:szCs w:val="16"/>
                              </w:rPr>
                              <w:t xml:space="preserve"> minimum commitments.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34FB78" id="Text Box 24" o:spid="_x0000_s1031" type="#_x0000_t202" style="position:absolute;left:0;text-align:left;margin-left:47.5pt;margin-top:1.6pt;width:349.75pt;height:2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yC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" filled="f" stroked="f">
                <v:textbox>
                  <w:txbxContent>
                    <w:p w14:paraId="5A34FB8B" w14:textId="77777777" w:rsidR="00A22BDD" w:rsidRPr="001D29E8" w:rsidRDefault="00A22BDD" w:rsidP="001D29E8">
                      <w:pPr>
                        <w:rPr>
                          <w:sz w:val="16"/>
                          <w:szCs w:val="16"/>
                        </w:rPr>
                      </w:pPr>
                      <w:r>
                        <w:rPr>
                          <w:sz w:val="16"/>
                          <w:szCs w:val="16"/>
                        </w:rPr>
                        <w:t xml:space="preserve">* Total cost </w:t>
                      </w:r>
                      <w:r w:rsidRPr="001D29E8">
                        <w:rPr>
                          <w:sz w:val="16"/>
                          <w:szCs w:val="16"/>
                        </w:rPr>
                        <w:t>exclude</w:t>
                      </w:r>
                      <w:r>
                        <w:rPr>
                          <w:sz w:val="16"/>
                          <w:szCs w:val="16"/>
                        </w:rPr>
                        <w:t>s</w:t>
                      </w:r>
                      <w:r w:rsidRPr="001D29E8">
                        <w:rPr>
                          <w:sz w:val="16"/>
                          <w:szCs w:val="16"/>
                        </w:rPr>
                        <w:t xml:space="preserve"> minimum commitments. </w:t>
                      </w:r>
                    </w:p>
                  </w:txbxContent>
                </v:textbox>
              </v:shape>
            </w:pict>
          </mc:Fallback>
        </mc:AlternateContent>
      </w:r>
    </w:p>
    <w:p w14:paraId="5A34FB61" w14:textId="77777777" w:rsidR="00B72339" w:rsidRDefault="00B72339" w:rsidP="00A23C58">
      <w:pPr>
        <w:spacing w:after="0" w:line="240" w:lineRule="auto"/>
        <w:jc w:val="center"/>
        <w:rPr>
          <w:i/>
          <w:sz w:val="18"/>
          <w:szCs w:val="18"/>
        </w:rPr>
      </w:pPr>
    </w:p>
    <w:p w14:paraId="5A34FB62" w14:textId="77777777" w:rsidR="00B72339" w:rsidRDefault="00B72339" w:rsidP="00A23C58">
      <w:pPr>
        <w:spacing w:after="0" w:line="240" w:lineRule="auto"/>
        <w:jc w:val="center"/>
        <w:rPr>
          <w:i/>
          <w:sz w:val="18"/>
          <w:szCs w:val="18"/>
        </w:rPr>
      </w:pPr>
    </w:p>
    <w:p w14:paraId="5A34FB63" w14:textId="77777777" w:rsidR="00B72339" w:rsidRDefault="00B72339" w:rsidP="00A23C58">
      <w:pPr>
        <w:spacing w:after="0" w:line="240" w:lineRule="auto"/>
        <w:jc w:val="center"/>
        <w:rPr>
          <w:i/>
          <w:sz w:val="18"/>
          <w:szCs w:val="18"/>
        </w:rPr>
      </w:pPr>
    </w:p>
    <w:p w14:paraId="5A34FB64" w14:textId="77777777" w:rsidR="00B72339" w:rsidRDefault="00B72339" w:rsidP="00A23C58">
      <w:pPr>
        <w:spacing w:after="0" w:line="240" w:lineRule="auto"/>
        <w:jc w:val="center"/>
        <w:rPr>
          <w:i/>
          <w:sz w:val="18"/>
          <w:szCs w:val="18"/>
        </w:rPr>
      </w:pPr>
    </w:p>
    <w:p w14:paraId="5A34FB65" w14:textId="77777777" w:rsidR="00B72339" w:rsidRDefault="00B72339" w:rsidP="00A23C58">
      <w:pPr>
        <w:spacing w:after="0" w:line="240" w:lineRule="auto"/>
        <w:jc w:val="center"/>
        <w:rPr>
          <w:i/>
          <w:sz w:val="18"/>
          <w:szCs w:val="18"/>
        </w:rPr>
      </w:pPr>
    </w:p>
    <w:p w14:paraId="5A34FB66" w14:textId="77777777" w:rsidR="00B72339" w:rsidRDefault="00B72339" w:rsidP="00A23C58">
      <w:pPr>
        <w:spacing w:after="0" w:line="240" w:lineRule="auto"/>
        <w:jc w:val="center"/>
        <w:rPr>
          <w:i/>
          <w:sz w:val="18"/>
          <w:szCs w:val="18"/>
        </w:rPr>
      </w:pPr>
    </w:p>
    <w:p w14:paraId="5A34FB67" w14:textId="77777777" w:rsidR="00B72339" w:rsidRDefault="00B72339" w:rsidP="00B72339">
      <w:pPr>
        <w:rPr>
          <w:b/>
          <w:sz w:val="18"/>
          <w:szCs w:val="18"/>
        </w:rPr>
      </w:pPr>
    </w:p>
    <w:p w14:paraId="5A34FB68" w14:textId="77777777" w:rsidR="00B72339" w:rsidRDefault="00B72339" w:rsidP="00B72339">
      <w:pPr>
        <w:rPr>
          <w:b/>
          <w:sz w:val="18"/>
          <w:szCs w:val="18"/>
        </w:rPr>
      </w:pPr>
    </w:p>
    <w:p w14:paraId="5A34FB69" w14:textId="77777777" w:rsidR="00B72339" w:rsidRDefault="00B72339" w:rsidP="00B72339">
      <w:pPr>
        <w:rPr>
          <w:b/>
          <w:sz w:val="18"/>
          <w:szCs w:val="18"/>
        </w:rPr>
      </w:pPr>
    </w:p>
    <w:p w14:paraId="5A34FB6A" w14:textId="77777777" w:rsidR="00B72339" w:rsidRDefault="00B72339" w:rsidP="00B72339">
      <w:pPr>
        <w:rPr>
          <w:b/>
          <w:sz w:val="18"/>
          <w:szCs w:val="18"/>
        </w:rPr>
      </w:pPr>
    </w:p>
    <w:p w14:paraId="5A34FB6B" w14:textId="77777777" w:rsidR="00B72339" w:rsidRDefault="00B72339" w:rsidP="00B72339">
      <w:pPr>
        <w:rPr>
          <w:sz w:val="18"/>
          <w:szCs w:val="18"/>
        </w:rPr>
      </w:pPr>
      <w:r>
        <w:rPr>
          <w:b/>
          <w:sz w:val="18"/>
          <w:szCs w:val="18"/>
        </w:rPr>
        <w:t>Version 2, December 2014. Disclaimer:</w:t>
      </w:r>
      <w:r>
        <w:rPr>
          <w:sz w:val="18"/>
          <w:szCs w:val="18"/>
        </w:rPr>
        <w:t xml:space="preserve"> The information in this factsheet is intended to be general information. While every effort has been made to ensure the information in this document is accurate, the GIA Secretariat does not accept any responsibility or liability for any error of fact, omission, interpretation or opinion which may be present, nor for the consequences of any decisions or actions based on this information.</w:t>
      </w:r>
    </w:p>
    <w:sectPr w:rsidR="00B72339" w:rsidSect="00A91BC5">
      <w:type w:val="continuous"/>
      <w:pgSz w:w="11906" w:h="16838"/>
      <w:pgMar w:top="851" w:right="709" w:bottom="567" w:left="709" w:header="709"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B5D0D" w14:textId="77777777" w:rsidR="00585832" w:rsidRDefault="00585832" w:rsidP="00D90ACD">
      <w:pPr>
        <w:spacing w:after="0" w:line="240" w:lineRule="auto"/>
      </w:pPr>
      <w:r>
        <w:separator/>
      </w:r>
    </w:p>
  </w:endnote>
  <w:endnote w:type="continuationSeparator" w:id="0">
    <w:p w14:paraId="4A6ED4B1" w14:textId="77777777" w:rsidR="00585832" w:rsidRDefault="00585832" w:rsidP="00D9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FB7D" w14:textId="77777777" w:rsidR="00A22BDD" w:rsidRDefault="00A22BDD" w:rsidP="00C3060A">
    <w:pPr>
      <w:pStyle w:val="Footer"/>
      <w:jc w:val="center"/>
      <w:rPr>
        <w:sz w:val="18"/>
        <w:szCs w:val="18"/>
      </w:rPr>
    </w:pPr>
  </w:p>
  <w:p w14:paraId="5A34FB7E" w14:textId="77777777" w:rsidR="00A22BDD" w:rsidRPr="009B3109" w:rsidRDefault="00A22BDD" w:rsidP="00C3060A">
    <w:pPr>
      <w:pStyle w:val="Footer"/>
      <w:pBdr>
        <w:top w:val="single" w:sz="4" w:space="1" w:color="auto"/>
      </w:pBdr>
      <w:jc w:val="center"/>
      <w:rPr>
        <w:sz w:val="18"/>
        <w:szCs w:val="18"/>
      </w:rPr>
    </w:pPr>
    <w:r w:rsidRPr="009B3109">
      <w:rPr>
        <w:sz w:val="18"/>
        <w:szCs w:val="18"/>
      </w:rPr>
      <w:t>GIA Secretariat, PO Box 2526, Wellington</w:t>
    </w:r>
  </w:p>
  <w:p w14:paraId="5A34FB7F" w14:textId="4F7B927A" w:rsidR="00A22BDD" w:rsidRPr="00BC6B3B" w:rsidRDefault="00A22BDD" w:rsidP="00C3060A">
    <w:pPr>
      <w:pStyle w:val="Footer"/>
      <w:jc w:val="center"/>
      <w:rPr>
        <w:sz w:val="18"/>
        <w:szCs w:val="18"/>
      </w:rPr>
    </w:pPr>
    <w:r>
      <w:rPr>
        <w:sz w:val="18"/>
        <w:szCs w:val="18"/>
      </w:rPr>
      <w:t xml:space="preserve">secretariat@gia.org.nz   |   </w:t>
    </w:r>
    <w:r w:rsidRPr="009B3109">
      <w:rPr>
        <w:sz w:val="18"/>
        <w:szCs w:val="18"/>
      </w:rPr>
      <w:t>(04) 894 0419</w:t>
    </w:r>
    <w:r>
      <w:rPr>
        <w:sz w:val="18"/>
        <w:szCs w:val="18"/>
      </w:rPr>
      <w:t xml:space="preserve">   |   </w:t>
    </w:r>
    <w:r w:rsidRPr="009B3109">
      <w:rPr>
        <w:sz w:val="18"/>
        <w:szCs w:val="18"/>
      </w:rPr>
      <w:t>gia.org.nz</w:t>
    </w:r>
    <w:r w:rsidR="001B4808">
      <w:rPr>
        <w:sz w:val="18"/>
        <w:szCs w:val="18"/>
      </w:rPr>
      <w:br/>
      <w:t>January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FB80" w14:textId="77777777" w:rsidR="00A22BDD" w:rsidRDefault="00A22BDD" w:rsidP="000F6639">
    <w:pPr>
      <w:pStyle w:val="Footer"/>
      <w:jc w:val="right"/>
    </w:pPr>
  </w:p>
  <w:p w14:paraId="5A34FB81" w14:textId="77777777" w:rsidR="00A22BDD" w:rsidRPr="006D22E3" w:rsidRDefault="00A22BDD" w:rsidP="000F6639">
    <w:pPr>
      <w:pStyle w:val="Footer"/>
      <w:pBdr>
        <w:top w:val="single" w:sz="4" w:space="1" w:color="auto"/>
      </w:pBdr>
      <w:tabs>
        <w:tab w:val="clear" w:pos="4513"/>
        <w:tab w:val="clear" w:pos="9026"/>
        <w:tab w:val="center" w:pos="4962"/>
        <w:tab w:val="right" w:pos="10490"/>
      </w:tabs>
      <w:rPr>
        <w:color w:val="A6A6A6" w:themeColor="background1" w:themeShade="A6"/>
        <w:sz w:val="18"/>
        <w:szCs w:val="18"/>
      </w:rPr>
    </w:pPr>
    <w:r w:rsidRPr="006D22E3">
      <w:rPr>
        <w:color w:val="A6A6A6" w:themeColor="background1" w:themeShade="A6"/>
        <w:sz w:val="18"/>
        <w:szCs w:val="18"/>
      </w:rPr>
      <w:t xml:space="preserve">GIA explained – December </w:t>
    </w:r>
    <w:r>
      <w:rPr>
        <w:color w:val="A6A6A6" w:themeColor="background1" w:themeShade="A6"/>
        <w:sz w:val="18"/>
        <w:szCs w:val="18"/>
      </w:rPr>
      <w:t>2013</w:t>
    </w:r>
    <w:r>
      <w:rPr>
        <w:color w:val="A6A6A6" w:themeColor="background1" w:themeShade="A6"/>
        <w:sz w:val="18"/>
        <w:szCs w:val="18"/>
      </w:rPr>
      <w:tab/>
    </w:r>
    <w:r w:rsidRPr="006D22E3">
      <w:rPr>
        <w:color w:val="A6A6A6" w:themeColor="background1" w:themeShade="A6"/>
        <w:sz w:val="18"/>
        <w:szCs w:val="18"/>
      </w:rPr>
      <w:tab/>
      <w:t>www.gia.org.nz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4FB82" w14:textId="77777777" w:rsidR="00A22BDD" w:rsidRDefault="00A22BDD" w:rsidP="00F84267">
    <w:pPr>
      <w:tabs>
        <w:tab w:val="center" w:pos="5387"/>
        <w:tab w:val="right" w:pos="10488"/>
      </w:tabs>
      <w:spacing w:after="0" w:line="240" w:lineRule="auto"/>
      <w:rPr>
        <w:sz w:val="18"/>
        <w:szCs w:val="18"/>
      </w:rPr>
    </w:pPr>
  </w:p>
  <w:p w14:paraId="5A34FB83" w14:textId="77777777" w:rsidR="00A22BDD" w:rsidRPr="000F6639" w:rsidRDefault="00A22BDD" w:rsidP="00F84267">
    <w:pPr>
      <w:pBdr>
        <w:top w:val="single" w:sz="4" w:space="1" w:color="auto"/>
      </w:pBdr>
      <w:tabs>
        <w:tab w:val="center" w:pos="5387"/>
        <w:tab w:val="right" w:pos="10488"/>
      </w:tabs>
      <w:spacing w:after="0" w:line="240" w:lineRule="auto"/>
      <w:rPr>
        <w:sz w:val="18"/>
        <w:szCs w:val="18"/>
      </w:rPr>
    </w:pPr>
    <w:r>
      <w:rPr>
        <w:sz w:val="18"/>
        <w:szCs w:val="18"/>
      </w:rPr>
      <w:t>Transitional discounts</w:t>
    </w:r>
    <w:r w:rsidRPr="000F6639">
      <w:rPr>
        <w:sz w:val="18"/>
        <w:szCs w:val="18"/>
      </w:rPr>
      <w:tab/>
    </w:r>
    <w:sdt>
      <w:sdtPr>
        <w:rPr>
          <w:sz w:val="18"/>
          <w:szCs w:val="18"/>
        </w:rPr>
        <w:id w:val="1383861738"/>
        <w:docPartObj>
          <w:docPartGallery w:val="Page Numbers (Top of Page)"/>
          <w:docPartUnique/>
        </w:docPartObj>
      </w:sdtPr>
      <w:sdtEndPr/>
      <w:sdtContent>
        <w:r w:rsidRPr="00F84267">
          <w:rPr>
            <w:sz w:val="18"/>
            <w:szCs w:val="18"/>
          </w:rPr>
          <w:t xml:space="preserve">Page </w:t>
        </w:r>
        <w:r w:rsidRPr="00F84267">
          <w:rPr>
            <w:sz w:val="18"/>
            <w:szCs w:val="18"/>
          </w:rPr>
          <w:fldChar w:fldCharType="begin"/>
        </w:r>
        <w:r w:rsidRPr="00F84267">
          <w:rPr>
            <w:sz w:val="18"/>
            <w:szCs w:val="18"/>
          </w:rPr>
          <w:instrText xml:space="preserve"> PAGE </w:instrText>
        </w:r>
        <w:r w:rsidRPr="00F84267">
          <w:rPr>
            <w:sz w:val="18"/>
            <w:szCs w:val="18"/>
          </w:rPr>
          <w:fldChar w:fldCharType="separate"/>
        </w:r>
        <w:r w:rsidR="001B4808">
          <w:rPr>
            <w:noProof/>
            <w:sz w:val="18"/>
            <w:szCs w:val="18"/>
          </w:rPr>
          <w:t>2</w:t>
        </w:r>
        <w:r w:rsidRPr="00F84267">
          <w:rPr>
            <w:sz w:val="18"/>
            <w:szCs w:val="18"/>
          </w:rPr>
          <w:fldChar w:fldCharType="end"/>
        </w:r>
        <w:r w:rsidRPr="00F84267">
          <w:rPr>
            <w:sz w:val="18"/>
            <w:szCs w:val="18"/>
          </w:rPr>
          <w:t xml:space="preserve"> of </w:t>
        </w:r>
        <w:r w:rsidRPr="00F84267">
          <w:rPr>
            <w:sz w:val="18"/>
            <w:szCs w:val="18"/>
          </w:rPr>
          <w:fldChar w:fldCharType="begin"/>
        </w:r>
        <w:r w:rsidRPr="00F84267">
          <w:rPr>
            <w:sz w:val="18"/>
            <w:szCs w:val="18"/>
          </w:rPr>
          <w:instrText xml:space="preserve"> NUMPAGES  </w:instrText>
        </w:r>
        <w:r w:rsidRPr="00F84267">
          <w:rPr>
            <w:sz w:val="18"/>
            <w:szCs w:val="18"/>
          </w:rPr>
          <w:fldChar w:fldCharType="separate"/>
        </w:r>
        <w:r w:rsidR="001B4808">
          <w:rPr>
            <w:noProof/>
            <w:sz w:val="18"/>
            <w:szCs w:val="18"/>
          </w:rPr>
          <w:t>2</w:t>
        </w:r>
        <w:r w:rsidRPr="00F84267">
          <w:rPr>
            <w:sz w:val="18"/>
            <w:szCs w:val="18"/>
          </w:rPr>
          <w:fldChar w:fldCharType="end"/>
        </w:r>
      </w:sdtContent>
    </w:sdt>
    <w:r>
      <w:rPr>
        <w:sz w:val="18"/>
        <w:szCs w:val="18"/>
      </w:rPr>
      <w:tab/>
    </w:r>
    <w:r w:rsidRPr="000F6639">
      <w:rPr>
        <w:sz w:val="18"/>
        <w:szCs w:val="18"/>
      </w:rPr>
      <w:t>www.gia.org.nz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A3C41" w14:textId="77777777" w:rsidR="00585832" w:rsidRDefault="00585832" w:rsidP="00D90ACD">
      <w:pPr>
        <w:spacing w:after="0" w:line="240" w:lineRule="auto"/>
      </w:pPr>
      <w:r>
        <w:separator/>
      </w:r>
    </w:p>
  </w:footnote>
  <w:footnote w:type="continuationSeparator" w:id="0">
    <w:p w14:paraId="4CB1F4E6" w14:textId="77777777" w:rsidR="00585832" w:rsidRDefault="00585832" w:rsidP="00D90A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2DED"/>
    <w:multiLevelType w:val="hybridMultilevel"/>
    <w:tmpl w:val="0CBA8D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A5065E"/>
    <w:multiLevelType w:val="hybridMultilevel"/>
    <w:tmpl w:val="50261728"/>
    <w:lvl w:ilvl="0" w:tplc="14090001">
      <w:start w:val="1"/>
      <w:numFmt w:val="bullet"/>
      <w:lvlText w:val=""/>
      <w:lvlJc w:val="left"/>
      <w:pPr>
        <w:ind w:left="720" w:hanging="360"/>
      </w:pPr>
      <w:rPr>
        <w:rFonts w:ascii="Symbol" w:hAnsi="Symbol" w:hint="default"/>
      </w:rPr>
    </w:lvl>
    <w:lvl w:ilvl="1" w:tplc="B2644D8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12C32F7"/>
    <w:multiLevelType w:val="hybridMultilevel"/>
    <w:tmpl w:val="FCEA464A"/>
    <w:lvl w:ilvl="0" w:tplc="AEF8E6DA">
      <w:numFmt w:val="bullet"/>
      <w:lvlText w:val=""/>
      <w:lvlJc w:val="left"/>
      <w:pPr>
        <w:ind w:left="720" w:hanging="360"/>
      </w:pPr>
      <w:rPr>
        <w:rFonts w:ascii="Symbol" w:eastAsia="Calibri"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F2B0354"/>
    <w:multiLevelType w:val="hybridMultilevel"/>
    <w:tmpl w:val="138E9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0596819"/>
    <w:multiLevelType w:val="hybridMultilevel"/>
    <w:tmpl w:val="9D5C492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98B2606"/>
    <w:multiLevelType w:val="hybridMultilevel"/>
    <w:tmpl w:val="F338414C"/>
    <w:lvl w:ilvl="0" w:tplc="B2644D8E">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EEB761F"/>
    <w:multiLevelType w:val="hybridMultilevel"/>
    <w:tmpl w:val="8E5E1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F843A0F"/>
    <w:multiLevelType w:val="hybridMultilevel"/>
    <w:tmpl w:val="3AEAA96A"/>
    <w:lvl w:ilvl="0" w:tplc="B2644D8E">
      <w:numFmt w:val="bullet"/>
      <w:lvlText w:val="•"/>
      <w:lvlJc w:val="left"/>
      <w:pPr>
        <w:ind w:left="144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51B"/>
    <w:rsid w:val="000B7932"/>
    <w:rsid w:val="000E4000"/>
    <w:rsid w:val="000F6639"/>
    <w:rsid w:val="00115C89"/>
    <w:rsid w:val="001562D9"/>
    <w:rsid w:val="001B4808"/>
    <w:rsid w:val="001D29E8"/>
    <w:rsid w:val="001E0001"/>
    <w:rsid w:val="00212CA6"/>
    <w:rsid w:val="0027120A"/>
    <w:rsid w:val="002900B8"/>
    <w:rsid w:val="002A5BA3"/>
    <w:rsid w:val="002D659A"/>
    <w:rsid w:val="003F6BD9"/>
    <w:rsid w:val="004B6587"/>
    <w:rsid w:val="005213B1"/>
    <w:rsid w:val="00585832"/>
    <w:rsid w:val="005F3A77"/>
    <w:rsid w:val="006C15D5"/>
    <w:rsid w:val="007026DC"/>
    <w:rsid w:val="0073685D"/>
    <w:rsid w:val="007612BE"/>
    <w:rsid w:val="00761D88"/>
    <w:rsid w:val="007A2784"/>
    <w:rsid w:val="007D5A6B"/>
    <w:rsid w:val="008630C0"/>
    <w:rsid w:val="008817F4"/>
    <w:rsid w:val="008B5BCC"/>
    <w:rsid w:val="008C1CB4"/>
    <w:rsid w:val="008C7C8D"/>
    <w:rsid w:val="008D4007"/>
    <w:rsid w:val="008E7958"/>
    <w:rsid w:val="00931F94"/>
    <w:rsid w:val="0095357D"/>
    <w:rsid w:val="00985DF8"/>
    <w:rsid w:val="00A22BDD"/>
    <w:rsid w:val="00A23C58"/>
    <w:rsid w:val="00A565AF"/>
    <w:rsid w:val="00A62125"/>
    <w:rsid w:val="00A64DB4"/>
    <w:rsid w:val="00A70E33"/>
    <w:rsid w:val="00A91BC5"/>
    <w:rsid w:val="00B1051B"/>
    <w:rsid w:val="00B60A4B"/>
    <w:rsid w:val="00B72339"/>
    <w:rsid w:val="00BC6B3B"/>
    <w:rsid w:val="00BD0B58"/>
    <w:rsid w:val="00BF2BEB"/>
    <w:rsid w:val="00C228F7"/>
    <w:rsid w:val="00C2492E"/>
    <w:rsid w:val="00C3060A"/>
    <w:rsid w:val="00D3455A"/>
    <w:rsid w:val="00D90ACD"/>
    <w:rsid w:val="00EB4363"/>
    <w:rsid w:val="00EC14A5"/>
    <w:rsid w:val="00F84267"/>
    <w:rsid w:val="00FD2A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4FB36"/>
  <w15:docId w15:val="{6DC9FF27-6416-48D4-9A18-D696C17B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51B"/>
    <w:rPr>
      <w:rFonts w:ascii="Calibri" w:eastAsia="Calibri" w:hAnsi="Calibri" w:cs="Times New Roman"/>
    </w:rPr>
  </w:style>
  <w:style w:type="paragraph" w:styleId="Heading1">
    <w:name w:val="heading 1"/>
    <w:basedOn w:val="Normal"/>
    <w:next w:val="Normal"/>
    <w:link w:val="Heading1Char"/>
    <w:qFormat/>
    <w:rsid w:val="00EC14A5"/>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B105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51B"/>
    <w:pPr>
      <w:ind w:left="720"/>
      <w:contextualSpacing/>
    </w:pPr>
  </w:style>
  <w:style w:type="paragraph" w:styleId="Footer">
    <w:name w:val="footer"/>
    <w:basedOn w:val="Normal"/>
    <w:link w:val="FooterChar"/>
    <w:uiPriority w:val="99"/>
    <w:rsid w:val="00B10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51B"/>
    <w:rPr>
      <w:rFonts w:ascii="Calibri" w:eastAsia="Calibri" w:hAnsi="Calibri" w:cs="Times New Roman"/>
    </w:rPr>
  </w:style>
  <w:style w:type="character" w:customStyle="1" w:styleId="A6">
    <w:name w:val="A6"/>
    <w:uiPriority w:val="99"/>
    <w:rsid w:val="00B1051B"/>
    <w:rPr>
      <w:color w:val="000000"/>
      <w:sz w:val="18"/>
    </w:rPr>
  </w:style>
  <w:style w:type="paragraph" w:styleId="NormalWeb">
    <w:name w:val="Normal (Web)"/>
    <w:basedOn w:val="Normal"/>
    <w:uiPriority w:val="99"/>
    <w:unhideWhenUsed/>
    <w:rsid w:val="00B1051B"/>
    <w:pPr>
      <w:spacing w:after="180" w:line="240" w:lineRule="auto"/>
    </w:pPr>
    <w:rPr>
      <w:rFonts w:ascii="Times New Roman" w:eastAsia="Times New Roman" w:hAnsi="Times New Roman"/>
      <w:sz w:val="24"/>
      <w:szCs w:val="24"/>
      <w:lang w:eastAsia="en-NZ"/>
    </w:rPr>
  </w:style>
  <w:style w:type="character" w:customStyle="1" w:styleId="Heading2Char">
    <w:name w:val="Heading 2 Char"/>
    <w:basedOn w:val="DefaultParagraphFont"/>
    <w:link w:val="Heading2"/>
    <w:uiPriority w:val="9"/>
    <w:rsid w:val="00B105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10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51B"/>
    <w:rPr>
      <w:rFonts w:ascii="Tahoma" w:eastAsia="Calibri" w:hAnsi="Tahoma" w:cs="Tahoma"/>
      <w:sz w:val="16"/>
      <w:szCs w:val="16"/>
    </w:rPr>
  </w:style>
  <w:style w:type="paragraph" w:styleId="Header">
    <w:name w:val="header"/>
    <w:basedOn w:val="Normal"/>
    <w:link w:val="HeaderChar"/>
    <w:uiPriority w:val="99"/>
    <w:unhideWhenUsed/>
    <w:rsid w:val="000F66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639"/>
    <w:rPr>
      <w:rFonts w:ascii="Calibri" w:eastAsia="Calibri" w:hAnsi="Calibri" w:cs="Times New Roman"/>
    </w:rPr>
  </w:style>
  <w:style w:type="character" w:styleId="Hyperlink">
    <w:name w:val="Hyperlink"/>
    <w:basedOn w:val="DefaultParagraphFont"/>
    <w:uiPriority w:val="99"/>
    <w:unhideWhenUsed/>
    <w:rsid w:val="00A64DB4"/>
    <w:rPr>
      <w:color w:val="0000FF" w:themeColor="hyperlink"/>
      <w:u w:val="single"/>
    </w:rPr>
  </w:style>
  <w:style w:type="table" w:styleId="TableGrid">
    <w:name w:val="Table Grid"/>
    <w:basedOn w:val="TableNormal"/>
    <w:uiPriority w:val="59"/>
    <w:rsid w:val="005F3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C14A5"/>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65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k182b6bd2a994f8f95e924da00d78e9b xmlns="4ee17582-4bfd-407b-b553-e98b9af73715">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k182b6bd2a994f8f95e924da00d78e9b>
    <PingarLastProcessed xmlns="4ee17582-4bfd-407b-b553-e98b9af73715" xsi:nil="true"/>
    <IconOverlay xmlns="http://schemas.microsoft.com/sharepoint/v4" xsi:nil="true"/>
    <ffcdb518397e41e8a5447fa46841a57f xmlns="4ee17582-4bfd-407b-b553-e98b9af73715">
      <Terms xmlns="http://schemas.microsoft.com/office/infopath/2007/PartnerControls"/>
    </ffcdb518397e41e8a5447fa46841a57f>
    <TaxKeywordTaxHTField xmlns="4ee17582-4bfd-407b-b553-e98b9af73715">
      <Terms xmlns="http://schemas.microsoft.com/office/infopath/2007/PartnerControls"/>
    </TaxKeywordTaxHTField>
    <e5d101e695d0413894eac226a6aa764c xmlns="4ee17582-4bfd-407b-b553-e98b9af73715">
      <Terms xmlns="http://schemas.microsoft.com/office/infopath/2007/PartnerControls"/>
    </e5d101e695d0413894eac226a6aa764c>
    <TaxCatchAll xmlns="4ee17582-4bfd-407b-b553-e98b9af73715">
      <Value>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E8ADC120B818E4EAF5942C1D6FD5E84" ma:contentTypeVersion="2" ma:contentTypeDescription="Create a new Word Document" ma:contentTypeScope="" ma:versionID="92146fa1939de13e5f48d3c594087a82">
  <xsd:schema xmlns:xsd="http://www.w3.org/2001/XMLSchema" xmlns:xs="http://www.w3.org/2001/XMLSchema" xmlns:p="http://schemas.microsoft.com/office/2006/metadata/properties" xmlns:ns3="01be4277-2979-4a68-876d-b92b25fceece" xmlns:ns4="4ee17582-4bfd-407b-b553-e98b9af73715" xmlns:ns6="http://schemas.microsoft.com/sharepoint/v4" targetNamespace="http://schemas.microsoft.com/office/2006/metadata/properties" ma:root="true" ma:fieldsID="3c850f9777af1a34609483f0aadc7e00" ns3:_="" ns4:_="" ns6:_="">
    <xsd:import namespace="01be4277-2979-4a68-876d-b92b25fceece"/>
    <xsd:import namespace="4ee17582-4bfd-407b-b553-e98b9af73715"/>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182b6bd2a994f8f95e924da00d78e9b" minOccurs="0"/>
                <xsd:element ref="ns4:ffcdb518397e41e8a5447fa46841a57f" minOccurs="0"/>
                <xsd:element ref="ns4:e5d101e695d0413894eac226a6aa764c" minOccurs="0"/>
                <xsd:element ref="ns4:PingarLastProcesse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3a592a89-6bc1-4c8c-80ff-f37625b7c14c" ma:anchorId="22e3fd31-20bb-450d-a152-2219eb491b5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e17582-4bfd-407b-b553-e98b9af7371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49d6d31-bb35-4f13-bfd6-ffd1e34fa547}" ma:internalName="TaxCatchAll" ma:showField="CatchAllData"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49d6d31-bb35-4f13-bfd6-ffd1e34fa547}" ma:internalName="TaxCatchAllLabel" ma:readOnly="true" ma:showField="CatchAllDataLabel" ma:web="4ee17582-4bfd-407b-b553-e98b9af73715">
      <xsd:complexType>
        <xsd:complexContent>
          <xsd:extension base="dms:MultiChoiceLookup">
            <xsd:sequence>
              <xsd:element name="Value" type="dms:Lookup" maxOccurs="unbounded" minOccurs="0" nillable="true"/>
            </xsd:sequence>
          </xsd:extension>
        </xsd:complexContent>
      </xsd:complexType>
    </xsd:element>
    <xsd:element name="k182b6bd2a994f8f95e924da00d78e9b" ma:index="14" nillable="true" ma:taxonomy="true" ma:internalName="k182b6bd2a994f8f95e924da00d78e9b" ma:taxonomyFieldName="MPISecurityClassification" ma:displayName="Security Classification" ma:default="1;#None|cf402fa0-b6a8-49a7-a22e-a95b6152c608" ma:fieldId="{4182b6bd-2a99-4f8f-95e9-24da00d78e9b}"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ffcdb518397e41e8a5447fa46841a57f" ma:index="17" nillable="true" ma:taxonomy="true" ma:internalName="ffcdb518397e41e8a5447fa46841a57f" ma:taxonomyFieldName="MPIYear" ma:displayName="Year" ma:default="" ma:fieldId="{ffcdb518-397e-41e8-a544-7fa46841a57f}"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e5d101e695d0413894eac226a6aa764c" ma:index="20" nillable="true" ma:taxonomy="true" ma:internalName="e5d101e695d0413894eac226a6aa764c" ma:taxonomyFieldName="PingarMPI_Terms" ma:displayName="Derived Terms" ma:fieldId="{e5d101e6-95d0-4138-94ea-c226a6aa764c}"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21" nillable="true" ma:displayName="PingarLastProcessed" ma:format="DateTime" ma:internalName="Pinga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11527-0F28-451F-A0FD-CCA9BAAA8578}">
  <ds:schemaRefs>
    <ds:schemaRef ds:uri="http://schemas.microsoft.com/office/2006/metadata/properties"/>
    <ds:schemaRef ds:uri="http://schemas.microsoft.com/office/infopath/2007/PartnerControls"/>
    <ds:schemaRef ds:uri="01be4277-2979-4a68-876d-b92b25fceece"/>
    <ds:schemaRef ds:uri="4ee17582-4bfd-407b-b553-e98b9af73715"/>
    <ds:schemaRef ds:uri="http://schemas.microsoft.com/sharepoint/v4"/>
  </ds:schemaRefs>
</ds:datastoreItem>
</file>

<file path=customXml/itemProps2.xml><?xml version="1.0" encoding="utf-8"?>
<ds:datastoreItem xmlns:ds="http://schemas.openxmlformats.org/officeDocument/2006/customXml" ds:itemID="{6EBAE41A-09AA-4D5B-81CB-778C8B4BF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ee17582-4bfd-407b-b553-e98b9af7371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5F102-043A-4222-80D0-DB24EBE023BF}">
  <ds:schemaRefs>
    <ds:schemaRef ds:uri="http://schemas.microsoft.com/sharepoint/events"/>
  </ds:schemaRefs>
</ds:datastoreItem>
</file>

<file path=customXml/itemProps4.xml><?xml version="1.0" encoding="utf-8"?>
<ds:datastoreItem xmlns:ds="http://schemas.openxmlformats.org/officeDocument/2006/customXml" ds:itemID="{95AABCEC-0D6A-4562-A808-DD35708A47D8}">
  <ds:schemaRefs>
    <ds:schemaRef ds:uri="http://schemas.microsoft.com/sharepoint/v3/contenttype/forms"/>
  </ds:schemaRefs>
</ds:datastoreItem>
</file>

<file path=customXml/itemProps5.xml><?xml version="1.0" encoding="utf-8"?>
<ds:datastoreItem xmlns:ds="http://schemas.openxmlformats.org/officeDocument/2006/customXml" ds:itemID="{705B3BFE-D4C1-416C-AFFC-C27E8BF5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MAF</Company>
  <LinksUpToDate>false</LinksUpToDate>
  <CharactersWithSpaces>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Vaughan</dc:creator>
  <cp:lastModifiedBy>Rowena Burton</cp:lastModifiedBy>
  <cp:revision>6</cp:revision>
  <cp:lastPrinted>2014-07-16T21:45:00Z</cp:lastPrinted>
  <dcterms:created xsi:type="dcterms:W3CDTF">2018-01-18T19:18:00Z</dcterms:created>
  <dcterms:modified xsi:type="dcterms:W3CDTF">2018-01-18T19:53:00Z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0x0101005496552013C0BA46BE88192D5C6EB20B00BC7B51C3C3DA487E91D1E0ED95F8C85C007E8ADC120B818E4EAF5942C1D6FD5E84</vt:lpwstr>
  </property>
  <property fmtid="{D5CDD505-2E9C-101B-9397-08002B2CF9AE}" pid="3" name="RecordPoint_WorkflowType">
    <vt:lpwstr>ActiveSubmitStub</vt:lpwstr>
  </property>
  <property fmtid="{D5CDD505-2E9C-101B-9397-08002B2CF9AE}" pid="4" name="RecordPoint_ActiveItemSiteId">
    <vt:lpwstr>{5be09418-e8a7-4c01-88e6-46c25371056e}</vt:lpwstr>
  </property>
  <property fmtid="{D5CDD505-2E9C-101B-9397-08002B2CF9AE}" pid="5" name="RecordPoint_ActiveItemListId">
    <vt:lpwstr>{787e4620-0086-4913-b240-a6a26c816199}</vt:lpwstr>
  </property>
  <property fmtid="{D5CDD505-2E9C-101B-9397-08002B2CF9AE}" pid="6" name="RecordPoint_ActiveItemUniqueId">
    <vt:lpwstr>{8aed76c5-e38d-4eff-a3d0-fa0b18c3803b}</vt:lpwstr>
  </property>
  <property fmtid="{D5CDD505-2E9C-101B-9397-08002B2CF9AE}" pid="7" name="RecordPoint_ActiveItemWebId">
    <vt:lpwstr>{d3f04473-c0c5-486a-8e86-8b31f0d90391}</vt:lpwstr>
  </property>
  <property fmtid="{D5CDD505-2E9C-101B-9397-08002B2CF9AE}" pid="8" name="RecordPoint_RecordNumberSubmitted">
    <vt:lpwstr>R0000375908</vt:lpwstr>
  </property>
  <property fmtid="{D5CDD505-2E9C-101B-9397-08002B2CF9AE}" pid="9" name="RecordPoint_SubmissionCompleted">
    <vt:lpwstr>2017-03-06T15:33:30.9904429+13:00</vt:lpwstr>
  </property>
</Properties>
</file>